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E53B4" w14:textId="4E85998D" w:rsidR="00970781" w:rsidRDefault="000D5355" w:rsidP="00836954">
      <w:pPr>
        <w:spacing w:after="69"/>
        <w:ind w:left="180" w:right="155"/>
      </w:pPr>
      <w:r w:rsidRPr="000D5355">
        <w:rPr>
          <w:rFonts w:ascii="Aptos" w:eastAsia="Times New Roman" w:hAnsi="Aptos" w:cs="Times New Roman"/>
          <w:noProof/>
          <w:color w:val="auto"/>
          <w:kern w:val="2"/>
          <w:sz w:val="24"/>
          <w:szCs w:val="24"/>
          <w14:ligatures w14:val="standardContextual"/>
        </w:rPr>
        <w:drawing>
          <wp:anchor distT="0" distB="0" distL="114300" distR="114300" simplePos="0" relativeHeight="251659264" behindDoc="0" locked="0" layoutInCell="1" allowOverlap="1" wp14:anchorId="655E72D0" wp14:editId="43BFBB1A">
            <wp:simplePos x="0" y="0"/>
            <wp:positionH relativeFrom="margin">
              <wp:posOffset>278765</wp:posOffset>
            </wp:positionH>
            <wp:positionV relativeFrom="paragraph">
              <wp:posOffset>102235</wp:posOffset>
            </wp:positionV>
            <wp:extent cx="727995" cy="800100"/>
            <wp:effectExtent l="0" t="0" r="0" b="0"/>
            <wp:wrapNone/>
            <wp:docPr id="1" name="Picture 1" descr="A blue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red logo&#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0374" cy="802715"/>
                    </a:xfrm>
                    <a:prstGeom prst="rect">
                      <a:avLst/>
                    </a:prstGeom>
                    <a:noFill/>
                  </pic:spPr>
                </pic:pic>
              </a:graphicData>
            </a:graphic>
            <wp14:sizeRelH relativeFrom="margin">
              <wp14:pctWidth>0</wp14:pctWidth>
            </wp14:sizeRelH>
            <wp14:sizeRelV relativeFrom="margin">
              <wp14:pctHeight>0</wp14:pctHeight>
            </wp14:sizeRelV>
          </wp:anchor>
        </w:drawing>
      </w:r>
      <w:r w:rsidR="0007313F">
        <w:rPr>
          <w:noProof/>
        </w:rPr>
        <mc:AlternateContent>
          <mc:Choice Requires="wpg">
            <w:drawing>
              <wp:inline distT="0" distB="0" distL="0" distR="0" wp14:anchorId="0C2A041B" wp14:editId="3CA7254E">
                <wp:extent cx="6492333" cy="952500"/>
                <wp:effectExtent l="0" t="0" r="0" b="0"/>
                <wp:docPr id="1626" name="Group 1626"/>
                <wp:cNvGraphicFramePr/>
                <a:graphic xmlns:a="http://schemas.openxmlformats.org/drawingml/2006/main">
                  <a:graphicData uri="http://schemas.microsoft.com/office/word/2010/wordprocessingGroup">
                    <wpg:wgp>
                      <wpg:cNvGrpSpPr/>
                      <wpg:grpSpPr>
                        <a:xfrm>
                          <a:off x="0" y="0"/>
                          <a:ext cx="6492333" cy="952500"/>
                          <a:chOff x="0" y="7595"/>
                          <a:chExt cx="6088032" cy="1056894"/>
                        </a:xfrm>
                      </wpg:grpSpPr>
                      <wps:wsp>
                        <wps:cNvPr id="8" name="Rectangle 8"/>
                        <wps:cNvSpPr/>
                        <wps:spPr>
                          <a:xfrm>
                            <a:off x="1501394" y="695325"/>
                            <a:ext cx="42144" cy="189937"/>
                          </a:xfrm>
                          <a:prstGeom prst="rect">
                            <a:avLst/>
                          </a:prstGeom>
                          <a:ln>
                            <a:noFill/>
                          </a:ln>
                        </wps:spPr>
                        <wps:txbx>
                          <w:txbxContent>
                            <w:p w14:paraId="785341E4" w14:textId="77777777" w:rsidR="00970781" w:rsidRDefault="0007313F">
                              <w:r>
                                <w:t xml:space="preserve"> </w:t>
                              </w:r>
                            </w:p>
                          </w:txbxContent>
                        </wps:txbx>
                        <wps:bodyPr horzOverflow="overflow" vert="horz" lIns="0" tIns="0" rIns="0" bIns="0" rtlCol="0">
                          <a:noAutofit/>
                        </wps:bodyPr>
                      </wps:wsp>
                      <wps:wsp>
                        <wps:cNvPr id="9" name="Rectangle 9"/>
                        <wps:cNvSpPr/>
                        <wps:spPr>
                          <a:xfrm>
                            <a:off x="3553333" y="7595"/>
                            <a:ext cx="50673" cy="224380"/>
                          </a:xfrm>
                          <a:prstGeom prst="rect">
                            <a:avLst/>
                          </a:prstGeom>
                          <a:ln>
                            <a:noFill/>
                          </a:ln>
                        </wps:spPr>
                        <wps:txbx>
                          <w:txbxContent>
                            <w:p w14:paraId="68166D72" w14:textId="77777777" w:rsidR="00970781" w:rsidRDefault="0007313F">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10" name="Rectangle 10"/>
                        <wps:cNvSpPr/>
                        <wps:spPr>
                          <a:xfrm>
                            <a:off x="1277254" y="231974"/>
                            <a:ext cx="3808583" cy="261791"/>
                          </a:xfrm>
                          <a:prstGeom prst="rect">
                            <a:avLst/>
                          </a:prstGeom>
                          <a:ln>
                            <a:noFill/>
                          </a:ln>
                        </wps:spPr>
                        <wps:txbx>
                          <w:txbxContent>
                            <w:p w14:paraId="048FF43E" w14:textId="71FE669D" w:rsidR="00970781" w:rsidRDefault="0007313F">
                              <w:r>
                                <w:rPr>
                                  <w:rFonts w:ascii="Times New Roman" w:eastAsia="Times New Roman" w:hAnsi="Times New Roman" w:cs="Times New Roman"/>
                                  <w:b/>
                                  <w:sz w:val="24"/>
                                </w:rPr>
                                <w:t>НАЦИОНАЛ</w:t>
                              </w:r>
                              <w:r w:rsidR="000D5355">
                                <w:rPr>
                                  <w:rFonts w:ascii="Times New Roman" w:eastAsia="Times New Roman" w:hAnsi="Times New Roman" w:cs="Times New Roman"/>
                                  <w:b/>
                                  <w:sz w:val="24"/>
                                </w:rPr>
                                <w:t>НА ЗДРАВНООСИГУРИТЕЛНА КАСА</w:t>
                              </w:r>
                            </w:p>
                          </w:txbxContent>
                        </wps:txbx>
                        <wps:bodyPr horzOverflow="overflow" vert="horz" lIns="0" tIns="0" rIns="0" bIns="0" rtlCol="0">
                          <a:noAutofit/>
                        </wps:bodyPr>
                      </wps:wsp>
                      <wps:wsp>
                        <wps:cNvPr id="11" name="Rectangle 11"/>
                        <wps:cNvSpPr/>
                        <wps:spPr>
                          <a:xfrm>
                            <a:off x="5163058" y="208762"/>
                            <a:ext cx="50673" cy="224380"/>
                          </a:xfrm>
                          <a:prstGeom prst="rect">
                            <a:avLst/>
                          </a:prstGeom>
                          <a:ln>
                            <a:noFill/>
                          </a:ln>
                        </wps:spPr>
                        <wps:txbx>
                          <w:txbxContent>
                            <w:p w14:paraId="1D3393D2" w14:textId="77777777" w:rsidR="00970781" w:rsidRDefault="0007313F">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12" name="Rectangle 12"/>
                        <wps:cNvSpPr/>
                        <wps:spPr>
                          <a:xfrm>
                            <a:off x="2024676" y="571651"/>
                            <a:ext cx="2469876" cy="159383"/>
                          </a:xfrm>
                          <a:prstGeom prst="rect">
                            <a:avLst/>
                          </a:prstGeom>
                          <a:ln>
                            <a:noFill/>
                          </a:ln>
                        </wps:spPr>
                        <wps:txbx>
                          <w:txbxContent>
                            <w:p w14:paraId="3AF5A8D4" w14:textId="77777777" w:rsidR="00970781" w:rsidRPr="00836954" w:rsidRDefault="0007313F">
                              <w:pPr>
                                <w:rPr>
                                  <w:color w:val="auto"/>
                                </w:rPr>
                              </w:pPr>
                              <w:r w:rsidRPr="00836954">
                                <w:rPr>
                                  <w:rFonts w:ascii="Times New Roman" w:eastAsia="Times New Roman" w:hAnsi="Times New Roman" w:cs="Times New Roman"/>
                                  <w:b/>
                                  <w:color w:val="auto"/>
                                  <w:sz w:val="21"/>
                                </w:rPr>
                                <w:t xml:space="preserve">ЦЕНТРАЛНО </w:t>
                              </w:r>
                              <w:r w:rsidRPr="00836954">
                                <w:rPr>
                                  <w:rFonts w:ascii="Times New Roman" w:eastAsia="Times New Roman" w:hAnsi="Times New Roman" w:cs="Times New Roman"/>
                                  <w:b/>
                                  <w:color w:val="auto"/>
                                  <w:sz w:val="21"/>
                                </w:rPr>
                                <w:t>УПРАВЛЕНИЕ</w:t>
                              </w:r>
                            </w:p>
                          </w:txbxContent>
                        </wps:txbx>
                        <wps:bodyPr horzOverflow="overflow" vert="horz" lIns="0" tIns="0" rIns="0" bIns="0" rtlCol="0">
                          <a:noAutofit/>
                        </wps:bodyPr>
                      </wps:wsp>
                      <wps:wsp>
                        <wps:cNvPr id="13" name="Rectangle 13"/>
                        <wps:cNvSpPr/>
                        <wps:spPr>
                          <a:xfrm>
                            <a:off x="4481449" y="410986"/>
                            <a:ext cx="44592" cy="197454"/>
                          </a:xfrm>
                          <a:prstGeom prst="rect">
                            <a:avLst/>
                          </a:prstGeom>
                          <a:ln>
                            <a:noFill/>
                          </a:ln>
                        </wps:spPr>
                        <wps:txbx>
                          <w:txbxContent>
                            <w:p w14:paraId="166477E7" w14:textId="77777777" w:rsidR="00970781" w:rsidRDefault="0007313F">
                              <w:r>
                                <w:rPr>
                                  <w:rFonts w:ascii="Times New Roman" w:eastAsia="Times New Roman" w:hAnsi="Times New Roman" w:cs="Times New Roman"/>
                                  <w:b/>
                                  <w:sz w:val="21"/>
                                </w:rPr>
                                <w:t xml:space="preserve"> </w:t>
                              </w:r>
                            </w:p>
                          </w:txbxContent>
                        </wps:txbx>
                        <wps:bodyPr horzOverflow="overflow" vert="horz" lIns="0" tIns="0" rIns="0" bIns="0" rtlCol="0">
                          <a:noAutofit/>
                        </wps:bodyPr>
                      </wps:wsp>
                      <wps:wsp>
                        <wps:cNvPr id="16" name="Rectangle 16"/>
                        <wps:cNvSpPr/>
                        <wps:spPr>
                          <a:xfrm>
                            <a:off x="1548638" y="783717"/>
                            <a:ext cx="40311" cy="181678"/>
                          </a:xfrm>
                          <a:prstGeom prst="rect">
                            <a:avLst/>
                          </a:prstGeom>
                          <a:ln>
                            <a:noFill/>
                          </a:ln>
                        </wps:spPr>
                        <wps:txbx>
                          <w:txbxContent>
                            <w:p w14:paraId="3974BD58" w14:textId="77777777" w:rsidR="00970781" w:rsidRDefault="0007313F">
                              <w:r>
                                <w:rPr>
                                  <w:b/>
                                  <w:sz w:val="21"/>
                                </w:rPr>
                                <w:t xml:space="preserve"> </w:t>
                              </w:r>
                            </w:p>
                          </w:txbxContent>
                        </wps:txbx>
                        <wps:bodyPr horzOverflow="overflow" vert="horz" lIns="0" tIns="0" rIns="0" bIns="0" rtlCol="0">
                          <a:noAutofit/>
                        </wps:bodyPr>
                      </wps:wsp>
                      <wps:wsp>
                        <wps:cNvPr id="17" name="Rectangle 17"/>
                        <wps:cNvSpPr/>
                        <wps:spPr>
                          <a:xfrm>
                            <a:off x="1548638" y="961263"/>
                            <a:ext cx="22904" cy="103226"/>
                          </a:xfrm>
                          <a:prstGeom prst="rect">
                            <a:avLst/>
                          </a:prstGeom>
                          <a:ln>
                            <a:noFill/>
                          </a:ln>
                        </wps:spPr>
                        <wps:txbx>
                          <w:txbxContent>
                            <w:p w14:paraId="20BB1A47" w14:textId="77777777" w:rsidR="00970781" w:rsidRDefault="0007313F">
                              <w:r>
                                <w:rPr>
                                  <w:b/>
                                  <w:sz w:val="12"/>
                                </w:rPr>
                                <w:t xml:space="preserve"> </w:t>
                              </w:r>
                            </w:p>
                          </w:txbxContent>
                        </wps:txbx>
                        <wps:bodyPr horzOverflow="overflow" vert="horz" lIns="0" tIns="0" rIns="0" bIns="0" rtlCol="0">
                          <a:noAutofit/>
                        </wps:bodyPr>
                      </wps:wsp>
                      <wps:wsp>
                        <wps:cNvPr id="1985" name="Shape 1985"/>
                        <wps:cNvSpPr/>
                        <wps:spPr>
                          <a:xfrm>
                            <a:off x="0" y="1051940"/>
                            <a:ext cx="1504442" cy="9144"/>
                          </a:xfrm>
                          <a:custGeom>
                            <a:avLst/>
                            <a:gdLst/>
                            <a:ahLst/>
                            <a:cxnLst/>
                            <a:rect l="0" t="0" r="0" b="0"/>
                            <a:pathLst>
                              <a:path w="1504442" h="9144">
                                <a:moveTo>
                                  <a:pt x="0" y="0"/>
                                </a:moveTo>
                                <a:lnTo>
                                  <a:pt x="1504442" y="0"/>
                                </a:lnTo>
                                <a:lnTo>
                                  <a:pt x="15044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6" name="Shape 1986"/>
                        <wps:cNvSpPr/>
                        <wps:spPr>
                          <a:xfrm>
                            <a:off x="1504442" y="10519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7" name="Shape 1987"/>
                        <wps:cNvSpPr/>
                        <wps:spPr>
                          <a:xfrm>
                            <a:off x="1510538" y="1051940"/>
                            <a:ext cx="4091305" cy="9144"/>
                          </a:xfrm>
                          <a:custGeom>
                            <a:avLst/>
                            <a:gdLst/>
                            <a:ahLst/>
                            <a:cxnLst/>
                            <a:rect l="0" t="0" r="0" b="0"/>
                            <a:pathLst>
                              <a:path w="4091305" h="9144">
                                <a:moveTo>
                                  <a:pt x="0" y="0"/>
                                </a:moveTo>
                                <a:lnTo>
                                  <a:pt x="4091305" y="0"/>
                                </a:lnTo>
                                <a:lnTo>
                                  <a:pt x="40913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 name="Rectangle 97"/>
                        <wps:cNvSpPr/>
                        <wps:spPr>
                          <a:xfrm>
                            <a:off x="6050027" y="562750"/>
                            <a:ext cx="38005" cy="168284"/>
                          </a:xfrm>
                          <a:prstGeom prst="rect">
                            <a:avLst/>
                          </a:prstGeom>
                          <a:ln>
                            <a:noFill/>
                          </a:ln>
                        </wps:spPr>
                        <wps:txbx>
                          <w:txbxContent>
                            <w:p w14:paraId="05AF264E" w14:textId="77777777" w:rsidR="00970781" w:rsidRDefault="0007313F">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98" name="Rectangle 98"/>
                        <wps:cNvSpPr/>
                        <wps:spPr>
                          <a:xfrm>
                            <a:off x="5278882" y="829470"/>
                            <a:ext cx="42517" cy="175004"/>
                          </a:xfrm>
                          <a:prstGeom prst="rect">
                            <a:avLst/>
                          </a:prstGeom>
                          <a:ln>
                            <a:noFill/>
                          </a:ln>
                        </wps:spPr>
                        <wps:txbx>
                          <w:txbxContent>
                            <w:p w14:paraId="3055955C" w14:textId="77777777" w:rsidR="00970781" w:rsidRDefault="0007313F">
                              <w:r>
                                <w:rPr>
                                  <w:rFonts w:ascii="Arial" w:eastAsia="Arial" w:hAnsi="Arial" w:cs="Arial"/>
                                </w:rPr>
                                <w:t xml:space="preserve"> </w:t>
                              </w:r>
                            </w:p>
                          </w:txbxContent>
                        </wps:txbx>
                        <wps:bodyPr horzOverflow="overflow" vert="horz" lIns="0" tIns="0" rIns="0" bIns="0" rtlCol="0">
                          <a:noAutofit/>
                        </wps:bodyPr>
                      </wps:wsp>
                    </wpg:wgp>
                  </a:graphicData>
                </a:graphic>
              </wp:inline>
            </w:drawing>
          </mc:Choice>
          <mc:Fallback>
            <w:pict>
              <v:group w14:anchorId="0C2A041B" id="Group 1626" o:spid="_x0000_s1026" style="width:511.2pt;height:75pt;mso-position-horizontal-relative:char;mso-position-vertical-relative:line" coordorigin=",75" coordsize="60880,10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">
                <v:rect id="Rectangle 8" o:spid="_x0000_s1027" style="position:absolute;left:15013;top:6953;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785341E4" w14:textId="77777777" w:rsidR="00970781" w:rsidRDefault="0007313F">
                        <w:r>
                          <w:t xml:space="preserve"> </w:t>
                        </w:r>
                      </w:p>
                    </w:txbxContent>
                  </v:textbox>
                </v:rect>
                <v:rect id="Rectangle 9" o:spid="_x0000_s1028" style="position:absolute;left:35533;top:7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68166D72" w14:textId="77777777" w:rsidR="00970781" w:rsidRDefault="0007313F">
                        <w:r>
                          <w:rPr>
                            <w:rFonts w:ascii="Times New Roman" w:eastAsia="Times New Roman" w:hAnsi="Times New Roman" w:cs="Times New Roman"/>
                            <w:b/>
                            <w:sz w:val="24"/>
                          </w:rPr>
                          <w:t xml:space="preserve"> </w:t>
                        </w:r>
                      </w:p>
                    </w:txbxContent>
                  </v:textbox>
                </v:rect>
                <v:rect id="Rectangle 10" o:spid="_x0000_s1029" style="position:absolute;left:12772;top:2319;width:38086;height:2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048FF43E" w14:textId="71FE669D" w:rsidR="00970781" w:rsidRDefault="0007313F">
                        <w:r>
                          <w:rPr>
                            <w:rFonts w:ascii="Times New Roman" w:eastAsia="Times New Roman" w:hAnsi="Times New Roman" w:cs="Times New Roman"/>
                            <w:b/>
                            <w:sz w:val="24"/>
                          </w:rPr>
                          <w:t>НАЦИОНАЛ</w:t>
                        </w:r>
                        <w:r w:rsidR="000D5355">
                          <w:rPr>
                            <w:rFonts w:ascii="Times New Roman" w:eastAsia="Times New Roman" w:hAnsi="Times New Roman" w:cs="Times New Roman"/>
                            <w:b/>
                            <w:sz w:val="24"/>
                          </w:rPr>
                          <w:t>НА ЗДРАВНООСИГУРИТЕЛНА КАСА</w:t>
                        </w:r>
                      </w:p>
                    </w:txbxContent>
                  </v:textbox>
                </v:rect>
                <v:rect id="Rectangle 11" o:spid="_x0000_s1030" style="position:absolute;left:51630;top:208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1D3393D2" w14:textId="77777777" w:rsidR="00970781" w:rsidRDefault="0007313F">
                        <w:r>
                          <w:rPr>
                            <w:rFonts w:ascii="Times New Roman" w:eastAsia="Times New Roman" w:hAnsi="Times New Roman" w:cs="Times New Roman"/>
                            <w:b/>
                            <w:sz w:val="24"/>
                          </w:rPr>
                          <w:t xml:space="preserve"> </w:t>
                        </w:r>
                      </w:p>
                    </w:txbxContent>
                  </v:textbox>
                </v:rect>
                <v:rect id="Rectangle 12" o:spid="_x0000_s1031" style="position:absolute;left:20246;top:5716;width:24699;height:1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3AF5A8D4" w14:textId="77777777" w:rsidR="00970781" w:rsidRPr="00836954" w:rsidRDefault="0007313F">
                        <w:pPr>
                          <w:rPr>
                            <w:color w:val="auto"/>
                          </w:rPr>
                        </w:pPr>
                        <w:r w:rsidRPr="00836954">
                          <w:rPr>
                            <w:rFonts w:ascii="Times New Roman" w:eastAsia="Times New Roman" w:hAnsi="Times New Roman" w:cs="Times New Roman"/>
                            <w:b/>
                            <w:color w:val="auto"/>
                            <w:sz w:val="21"/>
                          </w:rPr>
                          <w:t>ЦЕНТРАЛНО УПРАВЛЕНИЕ</w:t>
                        </w:r>
                      </w:p>
                    </w:txbxContent>
                  </v:textbox>
                </v:rect>
                <v:rect id="Rectangle 13" o:spid="_x0000_s1032" style="position:absolute;left:44814;top:4109;width:446;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166477E7" w14:textId="77777777" w:rsidR="00970781" w:rsidRDefault="0007313F">
                        <w:r>
                          <w:rPr>
                            <w:rFonts w:ascii="Times New Roman" w:eastAsia="Times New Roman" w:hAnsi="Times New Roman" w:cs="Times New Roman"/>
                            <w:b/>
                            <w:sz w:val="21"/>
                          </w:rPr>
                          <w:t xml:space="preserve"> </w:t>
                        </w:r>
                      </w:p>
                    </w:txbxContent>
                  </v:textbox>
                </v:rect>
                <v:rect id="Rectangle 16" o:spid="_x0000_s1033" style="position:absolute;left:15486;top:7837;width:403;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3974BD58" w14:textId="77777777" w:rsidR="00970781" w:rsidRDefault="0007313F">
                        <w:r>
                          <w:rPr>
                            <w:b/>
                            <w:sz w:val="21"/>
                          </w:rPr>
                          <w:t xml:space="preserve"> </w:t>
                        </w:r>
                      </w:p>
                    </w:txbxContent>
                  </v:textbox>
                </v:rect>
                <v:rect id="Rectangle 17" o:spid="_x0000_s1034" style="position:absolute;left:15486;top:9612;width:229;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20BB1A47" w14:textId="77777777" w:rsidR="00970781" w:rsidRDefault="0007313F">
                        <w:r>
                          <w:rPr>
                            <w:b/>
                            <w:sz w:val="12"/>
                          </w:rPr>
                          <w:t xml:space="preserve"> </w:t>
                        </w:r>
                      </w:p>
                    </w:txbxContent>
                  </v:textbox>
                </v:rect>
                <v:shape id="Shape 1985" o:spid="_x0000_s1035" style="position:absolute;top:10519;width:15044;height:91;visibility:visible;mso-wrap-style:square;v-text-anchor:top" coordsize="150444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" path="m,l1504442,r,9144l,9144,,e" fillcolor="black" stroked="f" strokeweight="0">
                  <v:stroke miterlimit="83231f" joinstyle="miter"/>
                  <v:path arrowok="t" textboxrect="0,0,1504442,9144"/>
                </v:shape>
                <v:shape id="Shape 1986" o:spid="_x0000_s1036" style="position:absolute;left:15044;top:1051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" path="m,l9144,r,9144l,9144,,e" fillcolor="black" stroked="f" strokeweight="0">
                  <v:stroke miterlimit="83231f" joinstyle="miter"/>
                  <v:path arrowok="t" textboxrect="0,0,9144,9144"/>
                </v:shape>
                <v:shape id="Shape 1987" o:spid="_x0000_s1037" style="position:absolute;left:15105;top:10519;width:40913;height:91;visibility:visible;mso-wrap-style:square;v-text-anchor:top" coordsize="409130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" path="m,l4091305,r,9144l,9144,,e" fillcolor="black" stroked="f" strokeweight="0">
                  <v:stroke miterlimit="83231f" joinstyle="miter"/>
                  <v:path arrowok="t" textboxrect="0,0,4091305,9144"/>
                </v:shape>
                <v:rect id="Rectangle 97" o:spid="_x0000_s1038" style="position:absolute;left:60500;top:5627;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" filled="f" stroked="f">
                  <v:textbox inset="0,0,0,0">
                    <w:txbxContent>
                      <w:p w14:paraId="05AF264E" w14:textId="77777777" w:rsidR="00970781" w:rsidRDefault="0007313F">
                        <w:r>
                          <w:rPr>
                            <w:rFonts w:ascii="Times New Roman" w:eastAsia="Times New Roman" w:hAnsi="Times New Roman" w:cs="Times New Roman"/>
                            <w:sz w:val="18"/>
                          </w:rPr>
                          <w:t xml:space="preserve"> </w:t>
                        </w:r>
                      </w:p>
                    </w:txbxContent>
                  </v:textbox>
                </v:rect>
                <v:rect id="Rectangle 98" o:spid="_x0000_s1039" style="position:absolute;left:52788;top:8294;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" filled="f" stroked="f">
                  <v:textbox inset="0,0,0,0">
                    <w:txbxContent>
                      <w:p w14:paraId="3055955C" w14:textId="77777777" w:rsidR="00970781" w:rsidRDefault="0007313F">
                        <w:r>
                          <w:rPr>
                            <w:rFonts w:ascii="Arial" w:eastAsia="Arial" w:hAnsi="Arial" w:cs="Arial"/>
                          </w:rPr>
                          <w:t xml:space="preserve"> </w:t>
                        </w:r>
                      </w:p>
                    </w:txbxContent>
                  </v:textbox>
                </v:rect>
                <w10:anchorlock/>
              </v:group>
            </w:pict>
          </mc:Fallback>
        </mc:AlternateContent>
      </w:r>
    </w:p>
    <w:p w14:paraId="6F0DF3B5" w14:textId="3BA2DF57" w:rsidR="00970781" w:rsidRPr="007F3FCC" w:rsidRDefault="00C018B3" w:rsidP="00C018B3">
      <w:pPr>
        <w:spacing w:after="89"/>
        <w:ind w:firstLine="284"/>
        <w:rPr>
          <w:color w:val="auto"/>
        </w:rPr>
      </w:pPr>
      <w:r>
        <w:rPr>
          <w:rFonts w:ascii="Times New Roman" w:eastAsia="Times New Roman" w:hAnsi="Times New Roman" w:cs="Times New Roman"/>
          <w:color w:val="auto"/>
          <w:sz w:val="18"/>
        </w:rPr>
        <w:t xml:space="preserve">    </w:t>
      </w:r>
      <w:r w:rsidR="00C00B3F">
        <w:rPr>
          <w:rFonts w:ascii="Times New Roman" w:eastAsia="Times New Roman" w:hAnsi="Times New Roman" w:cs="Times New Roman"/>
          <w:color w:val="auto"/>
          <w:sz w:val="18"/>
        </w:rPr>
        <w:t xml:space="preserve">           </w:t>
      </w:r>
      <w:r w:rsidR="00836954" w:rsidRPr="007F3FCC">
        <w:rPr>
          <w:rFonts w:ascii="Times New Roman" w:eastAsia="Times New Roman" w:hAnsi="Times New Roman" w:cs="Times New Roman"/>
          <w:color w:val="auto"/>
          <w:sz w:val="18"/>
        </w:rPr>
        <w:t>1407</w:t>
      </w:r>
      <w:r w:rsidR="0007313F" w:rsidRPr="007F3FCC">
        <w:rPr>
          <w:rFonts w:ascii="Times New Roman" w:eastAsia="Times New Roman" w:hAnsi="Times New Roman" w:cs="Times New Roman"/>
          <w:color w:val="auto"/>
          <w:sz w:val="18"/>
        </w:rPr>
        <w:t xml:space="preserve"> гр. </w:t>
      </w:r>
      <w:r w:rsidR="00836954" w:rsidRPr="007F3FCC">
        <w:rPr>
          <w:rFonts w:ascii="Times New Roman" w:eastAsia="Times New Roman" w:hAnsi="Times New Roman" w:cs="Times New Roman"/>
          <w:color w:val="auto"/>
          <w:sz w:val="18"/>
        </w:rPr>
        <w:t>София</w:t>
      </w:r>
      <w:r w:rsidR="0007313F" w:rsidRPr="007F3FCC">
        <w:rPr>
          <w:rFonts w:ascii="Times New Roman" w:eastAsia="Times New Roman" w:hAnsi="Times New Roman" w:cs="Times New Roman"/>
          <w:color w:val="auto"/>
          <w:sz w:val="18"/>
        </w:rPr>
        <w:t xml:space="preserve"> Адрес</w:t>
      </w:r>
      <w:r w:rsidR="00836954" w:rsidRPr="007F3FCC">
        <w:rPr>
          <w:rFonts w:ascii="Times New Roman" w:eastAsia="Times New Roman" w:hAnsi="Times New Roman" w:cs="Times New Roman"/>
          <w:color w:val="auto"/>
          <w:sz w:val="18"/>
        </w:rPr>
        <w:t>: ул. „Кричим“ №1</w:t>
      </w:r>
      <w:r w:rsidR="0007313F" w:rsidRPr="007F3FCC">
        <w:rPr>
          <w:rFonts w:ascii="Times New Roman" w:eastAsia="Times New Roman" w:hAnsi="Times New Roman" w:cs="Times New Roman"/>
          <w:color w:val="auto"/>
          <w:sz w:val="18"/>
        </w:rPr>
        <w:t xml:space="preserve"> </w:t>
      </w:r>
      <w:r>
        <w:rPr>
          <w:rFonts w:ascii="Times New Roman" w:eastAsia="Times New Roman" w:hAnsi="Times New Roman" w:cs="Times New Roman"/>
          <w:color w:val="auto"/>
          <w:sz w:val="18"/>
        </w:rPr>
        <w:t xml:space="preserve">     </w:t>
      </w:r>
      <w:r w:rsidR="000D5355" w:rsidRPr="007F3FCC">
        <w:rPr>
          <w:rFonts w:ascii="Times New Roman" w:eastAsia="Times New Roman" w:hAnsi="Times New Roman" w:cs="Times New Roman"/>
          <w:color w:val="auto"/>
          <w:sz w:val="18"/>
        </w:rPr>
        <w:t xml:space="preserve"> </w:t>
      </w:r>
      <w:r w:rsidR="00E127C9">
        <w:rPr>
          <w:rFonts w:ascii="Times New Roman" w:eastAsia="Times New Roman" w:hAnsi="Times New Roman" w:cs="Times New Roman"/>
          <w:color w:val="auto"/>
          <w:sz w:val="18"/>
        </w:rPr>
        <w:t xml:space="preserve">  </w:t>
      </w:r>
      <w:r>
        <w:rPr>
          <w:rFonts w:ascii="Times New Roman" w:eastAsia="Times New Roman" w:hAnsi="Times New Roman" w:cs="Times New Roman"/>
          <w:color w:val="auto"/>
          <w:sz w:val="18"/>
        </w:rPr>
        <w:t xml:space="preserve"> </w:t>
      </w:r>
      <w:r w:rsidR="00E127C9">
        <w:rPr>
          <w:rFonts w:ascii="Times New Roman" w:eastAsia="Times New Roman" w:hAnsi="Times New Roman" w:cs="Times New Roman"/>
          <w:color w:val="auto"/>
          <w:sz w:val="18"/>
        </w:rPr>
        <w:t xml:space="preserve">         </w:t>
      </w:r>
      <w:hyperlink r:id="rId7" w:history="1">
        <w:r w:rsidR="00E127C9" w:rsidRPr="00BA4C6D">
          <w:rPr>
            <w:rStyle w:val="Hyperlink"/>
            <w:b/>
            <w:i/>
            <w:sz w:val="18"/>
            <w:lang w:val="es-CL"/>
          </w:rPr>
          <w:t>www.nhif.bg</w:t>
        </w:r>
      </w:hyperlink>
      <w:r w:rsidR="000D5355" w:rsidRPr="007F3FCC">
        <w:rPr>
          <w:b/>
          <w:i/>
          <w:color w:val="auto"/>
          <w:sz w:val="18"/>
          <w:lang w:val="es-CL"/>
        </w:rPr>
        <w:t xml:space="preserve"> </w:t>
      </w:r>
      <w:r w:rsidR="000D5355" w:rsidRPr="007F3FCC">
        <w:rPr>
          <w:b/>
          <w:i/>
          <w:color w:val="auto"/>
          <w:sz w:val="18"/>
        </w:rPr>
        <w:t xml:space="preserve">            </w:t>
      </w:r>
      <w:r>
        <w:rPr>
          <w:b/>
          <w:i/>
          <w:color w:val="auto"/>
          <w:sz w:val="18"/>
        </w:rPr>
        <w:t xml:space="preserve"> </w:t>
      </w:r>
      <w:r w:rsidR="000D5355" w:rsidRPr="007F3FCC">
        <w:rPr>
          <w:b/>
          <w:i/>
          <w:color w:val="auto"/>
          <w:sz w:val="18"/>
        </w:rPr>
        <w:t xml:space="preserve">        </w:t>
      </w:r>
      <w:r w:rsidR="0007313F" w:rsidRPr="007F3FCC">
        <w:rPr>
          <w:rFonts w:ascii="Times New Roman" w:eastAsia="Times New Roman" w:hAnsi="Times New Roman" w:cs="Times New Roman"/>
          <w:color w:val="auto"/>
          <w:sz w:val="18"/>
        </w:rPr>
        <w:t>Телефон</w:t>
      </w:r>
      <w:r w:rsidR="00E127C9">
        <w:rPr>
          <w:rFonts w:ascii="Times New Roman" w:eastAsia="Times New Roman" w:hAnsi="Times New Roman" w:cs="Times New Roman"/>
          <w:color w:val="auto"/>
          <w:sz w:val="18"/>
        </w:rPr>
        <w:t>:</w:t>
      </w:r>
      <w:r w:rsidR="0007313F" w:rsidRPr="007F3FCC">
        <w:rPr>
          <w:rFonts w:ascii="Times New Roman" w:eastAsia="Times New Roman" w:hAnsi="Times New Roman" w:cs="Times New Roman"/>
          <w:color w:val="auto"/>
          <w:sz w:val="18"/>
        </w:rPr>
        <w:t xml:space="preserve"> </w:t>
      </w:r>
      <w:r w:rsidR="00D83B67">
        <w:rPr>
          <w:rFonts w:ascii="Times New Roman" w:eastAsia="Times New Roman" w:hAnsi="Times New Roman" w:cs="Times New Roman"/>
          <w:color w:val="auto"/>
          <w:sz w:val="18"/>
        </w:rPr>
        <w:t xml:space="preserve">+359 </w:t>
      </w:r>
      <w:r w:rsidR="00836954" w:rsidRPr="007F3FCC">
        <w:rPr>
          <w:rFonts w:ascii="Times New Roman" w:eastAsia="Times New Roman" w:hAnsi="Times New Roman" w:cs="Times New Roman"/>
          <w:color w:val="auto"/>
          <w:sz w:val="18"/>
        </w:rPr>
        <w:t>2</w:t>
      </w:r>
      <w:r w:rsidR="00C00B3F">
        <w:rPr>
          <w:rFonts w:ascii="Times New Roman" w:eastAsia="Times New Roman" w:hAnsi="Times New Roman" w:cs="Times New Roman"/>
          <w:color w:val="auto"/>
          <w:sz w:val="18"/>
        </w:rPr>
        <w:t xml:space="preserve"> </w:t>
      </w:r>
      <w:r w:rsidR="00836954" w:rsidRPr="007F3FCC">
        <w:rPr>
          <w:rFonts w:ascii="Times New Roman" w:eastAsia="Times New Roman" w:hAnsi="Times New Roman" w:cs="Times New Roman"/>
          <w:color w:val="auto"/>
          <w:sz w:val="18"/>
        </w:rPr>
        <w:t>965 9301</w:t>
      </w:r>
    </w:p>
    <w:p w14:paraId="2C9B3D1E" w14:textId="28EBB7BE" w:rsidR="000D5355" w:rsidRDefault="0007313F" w:rsidP="000D5355">
      <w:pPr>
        <w:spacing w:after="36"/>
        <w:ind w:left="720"/>
        <w:rPr>
          <w:rFonts w:ascii="Times New Roman" w:eastAsia="Times New Roman" w:hAnsi="Times New Roman" w:cs="Times New Roman"/>
          <w:b/>
          <w:color w:val="FF0000"/>
          <w:sz w:val="24"/>
        </w:rPr>
      </w:pPr>
      <w:r w:rsidRPr="00A51A7E">
        <w:rPr>
          <w:color w:val="FF0000"/>
        </w:rPr>
        <w:t xml:space="preserve"> </w:t>
      </w:r>
      <w:r w:rsidR="000D5355" w:rsidRPr="00A51A7E">
        <w:rPr>
          <w:rFonts w:ascii="Times New Roman" w:eastAsia="Times New Roman" w:hAnsi="Times New Roman" w:cs="Times New Roman"/>
          <w:b/>
          <w:color w:val="FF0000"/>
          <w:sz w:val="24"/>
        </w:rPr>
        <w:t xml:space="preserve">                             </w:t>
      </w:r>
    </w:p>
    <w:p w14:paraId="44F31573" w14:textId="77777777" w:rsidR="006617EB" w:rsidRPr="00A51A7E" w:rsidRDefault="006617EB" w:rsidP="000D5355">
      <w:pPr>
        <w:spacing w:after="36"/>
        <w:ind w:left="720"/>
        <w:rPr>
          <w:color w:val="FF0000"/>
        </w:rPr>
      </w:pPr>
    </w:p>
    <w:p w14:paraId="3845FC2D" w14:textId="77777777" w:rsidR="00B003BB" w:rsidRDefault="00243E78" w:rsidP="00243E78">
      <w:pPr>
        <w:tabs>
          <w:tab w:val="left" w:pos="4860"/>
        </w:tabs>
        <w:spacing w:after="120" w:line="240" w:lineRule="auto"/>
        <w:ind w:left="5610"/>
        <w:contextualSpacing/>
        <w:rPr>
          <w:rFonts w:ascii="Times New Roman" w:hAnsi="Times New Roman" w:cs="Times New Roman"/>
          <w:b/>
          <w:sz w:val="24"/>
          <w:szCs w:val="24"/>
        </w:rPr>
      </w:pPr>
      <w:r w:rsidRPr="00243E78">
        <w:rPr>
          <w:rFonts w:ascii="Times New Roman" w:hAnsi="Times New Roman" w:cs="Times New Roman"/>
          <w:b/>
          <w:sz w:val="24"/>
          <w:szCs w:val="24"/>
        </w:rPr>
        <w:t xml:space="preserve">ДО </w:t>
      </w:r>
    </w:p>
    <w:p w14:paraId="11C5BC3C" w14:textId="734EFCD2" w:rsidR="00243E78" w:rsidRPr="00243E78" w:rsidRDefault="00243E78" w:rsidP="00243E78">
      <w:pPr>
        <w:tabs>
          <w:tab w:val="left" w:pos="4860"/>
        </w:tabs>
        <w:spacing w:after="120" w:line="240" w:lineRule="auto"/>
        <w:ind w:left="5610"/>
        <w:contextualSpacing/>
        <w:rPr>
          <w:rFonts w:ascii="Times New Roman" w:hAnsi="Times New Roman" w:cs="Times New Roman"/>
          <w:b/>
          <w:sz w:val="24"/>
          <w:szCs w:val="24"/>
        </w:rPr>
      </w:pPr>
      <w:r w:rsidRPr="00243E78">
        <w:rPr>
          <w:rFonts w:ascii="Times New Roman" w:hAnsi="Times New Roman" w:cs="Times New Roman"/>
          <w:b/>
          <w:sz w:val="24"/>
          <w:szCs w:val="24"/>
        </w:rPr>
        <w:t>ПРИТЕЖАТЕЛИТЕ НА РАЗРЕШЕНИЯТА ЗА УПОТРЕБА НА ЛЕКАРСТВЕНИТЕ ПРОДУКТИ,</w:t>
      </w:r>
    </w:p>
    <w:p w14:paraId="69D2FCF8" w14:textId="4B6C744F" w:rsidR="00243E78" w:rsidRPr="00243E78" w:rsidRDefault="00243E78" w:rsidP="00243E78">
      <w:pPr>
        <w:tabs>
          <w:tab w:val="left" w:pos="4860"/>
        </w:tabs>
        <w:spacing w:after="120" w:line="240" w:lineRule="auto"/>
        <w:ind w:left="4956"/>
        <w:contextualSpacing/>
        <w:rPr>
          <w:rFonts w:ascii="Times New Roman" w:hAnsi="Times New Roman" w:cs="Times New Roman"/>
          <w:b/>
          <w:sz w:val="24"/>
          <w:szCs w:val="24"/>
        </w:rPr>
      </w:pPr>
      <w:r w:rsidRPr="00243E78">
        <w:rPr>
          <w:rFonts w:ascii="Times New Roman" w:hAnsi="Times New Roman" w:cs="Times New Roman"/>
          <w:b/>
          <w:sz w:val="24"/>
          <w:szCs w:val="24"/>
          <w:lang w:val="en-US"/>
        </w:rPr>
        <w:tab/>
      </w:r>
      <w:r w:rsidRPr="00243E78">
        <w:rPr>
          <w:rFonts w:ascii="Times New Roman" w:hAnsi="Times New Roman" w:cs="Times New Roman"/>
          <w:b/>
          <w:sz w:val="24"/>
          <w:szCs w:val="24"/>
        </w:rPr>
        <w:t xml:space="preserve">ЗАПЛАЩАНИ НАПЪЛНО ИЛИ </w:t>
      </w:r>
    </w:p>
    <w:p w14:paraId="5E3FB89E" w14:textId="1F5E9C00" w:rsidR="00243E78" w:rsidRPr="00243E78" w:rsidRDefault="00243E78" w:rsidP="00243E78">
      <w:pPr>
        <w:tabs>
          <w:tab w:val="left" w:pos="4860"/>
        </w:tabs>
        <w:spacing w:after="120" w:line="240" w:lineRule="auto"/>
        <w:ind w:left="4956"/>
        <w:contextualSpacing/>
        <w:rPr>
          <w:rFonts w:ascii="Times New Roman" w:hAnsi="Times New Roman" w:cs="Times New Roman"/>
          <w:b/>
          <w:sz w:val="24"/>
          <w:szCs w:val="24"/>
        </w:rPr>
      </w:pPr>
      <w:r w:rsidRPr="00243E78">
        <w:rPr>
          <w:rFonts w:ascii="Times New Roman" w:hAnsi="Times New Roman" w:cs="Times New Roman"/>
          <w:b/>
          <w:sz w:val="24"/>
          <w:szCs w:val="24"/>
          <w:lang w:val="en-US"/>
        </w:rPr>
        <w:tab/>
      </w:r>
      <w:r w:rsidRPr="00243E78">
        <w:rPr>
          <w:rFonts w:ascii="Times New Roman" w:hAnsi="Times New Roman" w:cs="Times New Roman"/>
          <w:b/>
          <w:sz w:val="24"/>
          <w:szCs w:val="24"/>
        </w:rPr>
        <w:t>ЧАСТИЧНО ОТ НЗОК/</w:t>
      </w:r>
    </w:p>
    <w:p w14:paraId="4D9A6F46" w14:textId="06316444" w:rsidR="00243E78" w:rsidRPr="009963CE" w:rsidRDefault="00243E78" w:rsidP="00243E78">
      <w:pPr>
        <w:tabs>
          <w:tab w:val="left" w:pos="4860"/>
        </w:tabs>
        <w:spacing w:after="120" w:line="240" w:lineRule="auto"/>
        <w:ind w:left="5670" w:hanging="60"/>
        <w:contextualSpacing/>
        <w:rPr>
          <w:rFonts w:ascii="Times New Roman" w:hAnsi="Times New Roman" w:cs="Times New Roman"/>
          <w:b/>
          <w:sz w:val="24"/>
          <w:szCs w:val="24"/>
          <w:lang w:val="en-US"/>
        </w:rPr>
      </w:pPr>
      <w:r>
        <w:rPr>
          <w:rFonts w:ascii="Times New Roman" w:hAnsi="Times New Roman" w:cs="Times New Roman"/>
          <w:b/>
          <w:sz w:val="24"/>
          <w:szCs w:val="24"/>
        </w:rPr>
        <w:t xml:space="preserve"> </w:t>
      </w:r>
      <w:r w:rsidRPr="00243E78">
        <w:rPr>
          <w:rFonts w:ascii="Times New Roman" w:hAnsi="Times New Roman" w:cs="Times New Roman"/>
          <w:b/>
          <w:sz w:val="24"/>
          <w:szCs w:val="24"/>
        </w:rPr>
        <w:t xml:space="preserve">ТЕХНИТЕ УПЪЛНОМОЩЕНИ </w:t>
      </w:r>
      <w:r>
        <w:rPr>
          <w:rFonts w:ascii="Times New Roman" w:hAnsi="Times New Roman" w:cs="Times New Roman"/>
          <w:b/>
          <w:sz w:val="24"/>
          <w:szCs w:val="24"/>
        </w:rPr>
        <w:t xml:space="preserve">   </w:t>
      </w:r>
      <w:r w:rsidRPr="00243E78">
        <w:rPr>
          <w:rFonts w:ascii="Times New Roman" w:hAnsi="Times New Roman" w:cs="Times New Roman"/>
          <w:b/>
          <w:sz w:val="24"/>
          <w:szCs w:val="24"/>
        </w:rPr>
        <w:t>ПРЕДСТАВИТЕЛИ</w:t>
      </w:r>
      <w:r w:rsidR="004977B2">
        <w:rPr>
          <w:rFonts w:ascii="Times New Roman" w:hAnsi="Times New Roman" w:cs="Times New Roman"/>
          <w:b/>
          <w:sz w:val="24"/>
          <w:szCs w:val="24"/>
        </w:rPr>
        <w:t xml:space="preserve"> ЗА БЪЛГАРИЯ</w:t>
      </w:r>
    </w:p>
    <w:p w14:paraId="01600200" w14:textId="77777777" w:rsidR="006617EB" w:rsidRDefault="006617EB" w:rsidP="00243E78">
      <w:pPr>
        <w:ind w:firstLine="708"/>
        <w:jc w:val="both"/>
        <w:outlineLvl w:val="0"/>
        <w:rPr>
          <w:rFonts w:ascii="Times New Roman" w:hAnsi="Times New Roman" w:cs="Times New Roman"/>
          <w:b/>
          <w:kern w:val="36"/>
          <w:sz w:val="24"/>
          <w:szCs w:val="24"/>
        </w:rPr>
      </w:pPr>
    </w:p>
    <w:p w14:paraId="6379FB40" w14:textId="7CE8FF2E" w:rsidR="004977B2" w:rsidRPr="00BF7E1C" w:rsidRDefault="00243E78" w:rsidP="00F93E3F">
      <w:pPr>
        <w:spacing w:after="0" w:line="240" w:lineRule="auto"/>
        <w:ind w:firstLine="708"/>
        <w:jc w:val="both"/>
        <w:rPr>
          <w:rFonts w:ascii="Times New Roman" w:hAnsi="Times New Roman" w:cs="Times New Roman"/>
          <w:b/>
          <w:sz w:val="24"/>
          <w:szCs w:val="24"/>
        </w:rPr>
      </w:pPr>
      <w:r w:rsidRPr="00F93E3F">
        <w:rPr>
          <w:rFonts w:ascii="Times New Roman" w:hAnsi="Times New Roman" w:cs="Times New Roman"/>
          <w:b/>
          <w:kern w:val="36"/>
          <w:sz w:val="24"/>
          <w:szCs w:val="24"/>
        </w:rPr>
        <w:t>ОТНОСНО</w:t>
      </w:r>
      <w:r w:rsidRPr="00F93E3F">
        <w:rPr>
          <w:rFonts w:ascii="Times New Roman" w:hAnsi="Times New Roman" w:cs="Times New Roman"/>
          <w:b/>
          <w:kern w:val="36"/>
          <w:sz w:val="24"/>
          <w:szCs w:val="24"/>
          <w:lang w:val="en-US"/>
        </w:rPr>
        <w:t>:</w:t>
      </w:r>
      <w:r w:rsidRPr="00F93E3F">
        <w:rPr>
          <w:rFonts w:ascii="Times New Roman" w:hAnsi="Times New Roman" w:cs="Times New Roman"/>
          <w:b/>
          <w:kern w:val="36"/>
          <w:sz w:val="24"/>
          <w:szCs w:val="24"/>
        </w:rPr>
        <w:t xml:space="preserve"> информация за </w:t>
      </w:r>
      <w:r w:rsidR="004977B2" w:rsidRPr="00F93E3F">
        <w:rPr>
          <w:rFonts w:ascii="Times New Roman" w:hAnsi="Times New Roman" w:cs="Times New Roman"/>
          <w:b/>
          <w:kern w:val="36"/>
          <w:sz w:val="24"/>
          <w:szCs w:val="24"/>
        </w:rPr>
        <w:t>извършено годишно компенсиране по чл.</w:t>
      </w:r>
      <w:r w:rsidR="008F217D">
        <w:rPr>
          <w:rFonts w:ascii="Times New Roman" w:hAnsi="Times New Roman" w:cs="Times New Roman"/>
          <w:b/>
          <w:kern w:val="36"/>
          <w:sz w:val="24"/>
          <w:szCs w:val="24"/>
        </w:rPr>
        <w:t xml:space="preserve"> </w:t>
      </w:r>
      <w:r w:rsidR="004977B2" w:rsidRPr="00F93E3F">
        <w:rPr>
          <w:rFonts w:ascii="Times New Roman" w:hAnsi="Times New Roman" w:cs="Times New Roman"/>
          <w:b/>
          <w:kern w:val="36"/>
          <w:sz w:val="24"/>
          <w:szCs w:val="24"/>
        </w:rPr>
        <w:t xml:space="preserve">8 от </w:t>
      </w:r>
      <w:r w:rsidR="004977B2" w:rsidRPr="00F93E3F">
        <w:rPr>
          <w:rFonts w:ascii="Times New Roman" w:hAnsi="Times New Roman" w:cs="Times New Roman"/>
          <w:b/>
          <w:sz w:val="24"/>
          <w:szCs w:val="24"/>
          <w:lang w:val="ru-RU"/>
        </w:rPr>
        <w:t>Механизма, гарантиращ предвидимост и устойчивост на бюджета на НЗОК за 2025 г.</w:t>
      </w:r>
      <w:r w:rsidR="004977B2" w:rsidRPr="00F93E3F">
        <w:rPr>
          <w:rFonts w:ascii="Times New Roman" w:hAnsi="Times New Roman" w:cs="Times New Roman"/>
          <w:b/>
          <w:sz w:val="24"/>
          <w:szCs w:val="24"/>
          <w:lang w:val="x-none"/>
        </w:rPr>
        <w:t xml:space="preserve"> за </w:t>
      </w:r>
      <w:r w:rsidR="004977B2" w:rsidRPr="00F54049">
        <w:rPr>
          <w:rFonts w:ascii="Times New Roman" w:hAnsi="Times New Roman" w:cs="Times New Roman"/>
          <w:b/>
          <w:sz w:val="24"/>
          <w:szCs w:val="24"/>
          <w:lang w:val="x-none"/>
        </w:rPr>
        <w:t>лекарствените продукти, заплащани напълно или частично със средства от бюджета на НЗОК</w:t>
      </w:r>
      <w:r w:rsidR="00BF7E1C" w:rsidRPr="00F54049">
        <w:rPr>
          <w:rFonts w:ascii="Times New Roman" w:hAnsi="Times New Roman" w:cs="Times New Roman"/>
          <w:b/>
          <w:sz w:val="24"/>
          <w:szCs w:val="24"/>
          <w:lang w:val="x-none"/>
        </w:rPr>
        <w:t xml:space="preserve"> </w:t>
      </w:r>
      <w:r w:rsidR="00BF7E1C" w:rsidRPr="00F54049">
        <w:rPr>
          <w:rFonts w:ascii="Times New Roman" w:hAnsi="Times New Roman" w:cs="Times New Roman"/>
          <w:b/>
          <w:sz w:val="24"/>
          <w:szCs w:val="24"/>
        </w:rPr>
        <w:t>и годишно изравняване</w:t>
      </w:r>
      <w:r w:rsidR="00BF7E1C">
        <w:rPr>
          <w:rFonts w:ascii="Times New Roman" w:hAnsi="Times New Roman" w:cs="Times New Roman"/>
          <w:b/>
          <w:sz w:val="24"/>
          <w:szCs w:val="24"/>
        </w:rPr>
        <w:t xml:space="preserve"> </w:t>
      </w:r>
    </w:p>
    <w:p w14:paraId="181773CA" w14:textId="77777777" w:rsidR="00F93E3F" w:rsidRDefault="00F93E3F" w:rsidP="00F93E3F">
      <w:pPr>
        <w:pStyle w:val="Heading1"/>
        <w:spacing w:after="0" w:line="240" w:lineRule="auto"/>
        <w:ind w:firstLine="708"/>
        <w:jc w:val="both"/>
        <w:rPr>
          <w:b w:val="0"/>
          <w:i w:val="0"/>
          <w:iCs/>
          <w:sz w:val="24"/>
          <w:szCs w:val="24"/>
        </w:rPr>
      </w:pPr>
    </w:p>
    <w:p w14:paraId="4385BE2C" w14:textId="77777777" w:rsidR="009A1214" w:rsidRDefault="009A1214" w:rsidP="0020540F">
      <w:pPr>
        <w:pStyle w:val="Heading1"/>
        <w:spacing w:after="0" w:line="240" w:lineRule="auto"/>
        <w:ind w:firstLine="708"/>
        <w:jc w:val="both"/>
        <w:rPr>
          <w:b w:val="0"/>
          <w:i w:val="0"/>
          <w:iCs/>
          <w:sz w:val="24"/>
          <w:szCs w:val="24"/>
        </w:rPr>
      </w:pPr>
    </w:p>
    <w:p w14:paraId="669FF14B" w14:textId="3D1E03D4" w:rsidR="009963CE" w:rsidRPr="00F93E3F" w:rsidRDefault="009963CE" w:rsidP="0020540F">
      <w:pPr>
        <w:pStyle w:val="Heading1"/>
        <w:spacing w:after="0" w:line="240" w:lineRule="auto"/>
        <w:ind w:firstLine="708"/>
        <w:jc w:val="both"/>
        <w:rPr>
          <w:b w:val="0"/>
          <w:i w:val="0"/>
          <w:iCs/>
          <w:sz w:val="24"/>
          <w:szCs w:val="24"/>
          <w:lang w:eastAsia="x-none"/>
        </w:rPr>
      </w:pPr>
      <w:r w:rsidRPr="009963CE">
        <w:rPr>
          <w:b w:val="0"/>
          <w:i w:val="0"/>
          <w:iCs/>
          <w:sz w:val="24"/>
          <w:szCs w:val="24"/>
        </w:rPr>
        <w:t xml:space="preserve">Адресати на настоящото съобщение са </w:t>
      </w:r>
      <w:r w:rsidRPr="009963CE">
        <w:rPr>
          <w:i w:val="0"/>
          <w:iCs/>
          <w:sz w:val="24"/>
          <w:szCs w:val="24"/>
        </w:rPr>
        <w:t>всички</w:t>
      </w:r>
      <w:r w:rsidRPr="009963CE">
        <w:rPr>
          <w:b w:val="0"/>
          <w:i w:val="0"/>
          <w:iCs/>
          <w:sz w:val="24"/>
          <w:szCs w:val="24"/>
        </w:rPr>
        <w:t xml:space="preserve"> притежатели на разрешения за употреба, както и техните упълномощени представители за Република България, на лекарствените продукти, заплащани напълно или частично със средства от бюджета на НЗОК</w:t>
      </w:r>
      <w:r>
        <w:rPr>
          <w:b w:val="0"/>
          <w:i w:val="0"/>
          <w:iCs/>
          <w:sz w:val="24"/>
          <w:szCs w:val="24"/>
        </w:rPr>
        <w:t xml:space="preserve">, които са сключили </w:t>
      </w:r>
      <w:r w:rsidR="00F93E3F">
        <w:rPr>
          <w:b w:val="0"/>
          <w:i w:val="0"/>
          <w:iCs/>
          <w:sz w:val="24"/>
          <w:szCs w:val="24"/>
        </w:rPr>
        <w:t xml:space="preserve">административни </w:t>
      </w:r>
      <w:r>
        <w:rPr>
          <w:b w:val="0"/>
          <w:i w:val="0"/>
          <w:iCs/>
          <w:sz w:val="24"/>
          <w:szCs w:val="24"/>
        </w:rPr>
        <w:t>договори по чл.</w:t>
      </w:r>
      <w:r w:rsidR="00D35ACD">
        <w:rPr>
          <w:b w:val="0"/>
          <w:i w:val="0"/>
          <w:iCs/>
          <w:sz w:val="24"/>
          <w:szCs w:val="24"/>
        </w:rPr>
        <w:t xml:space="preserve"> </w:t>
      </w:r>
      <w:r>
        <w:rPr>
          <w:b w:val="0"/>
          <w:i w:val="0"/>
          <w:iCs/>
          <w:sz w:val="24"/>
          <w:szCs w:val="24"/>
        </w:rPr>
        <w:t xml:space="preserve">45, ал.22 и/или 33 от Закона за здравното осигуряване за 2025 г. </w:t>
      </w:r>
      <w:r w:rsidR="00754AB5">
        <w:rPr>
          <w:b w:val="0"/>
          <w:i w:val="0"/>
          <w:iCs/>
          <w:sz w:val="24"/>
          <w:szCs w:val="24"/>
        </w:rPr>
        <w:t>н</w:t>
      </w:r>
      <w:r>
        <w:rPr>
          <w:b w:val="0"/>
          <w:i w:val="0"/>
          <w:iCs/>
          <w:sz w:val="24"/>
          <w:szCs w:val="24"/>
        </w:rPr>
        <w:t xml:space="preserve">а основания, предвидени в сключените договори, независимо от изтичането на техния срок – 31.12.2025 г., </w:t>
      </w:r>
      <w:r w:rsidRPr="009963CE">
        <w:rPr>
          <w:b w:val="0"/>
          <w:i w:val="0"/>
          <w:iCs/>
          <w:sz w:val="24"/>
          <w:szCs w:val="24"/>
        </w:rPr>
        <w:t xml:space="preserve">същите продължават </w:t>
      </w:r>
      <w:r w:rsidRPr="009963CE">
        <w:rPr>
          <w:b w:val="0"/>
          <w:i w:val="0"/>
          <w:iCs/>
          <w:sz w:val="24"/>
          <w:szCs w:val="24"/>
          <w:lang w:eastAsia="x-none"/>
        </w:rPr>
        <w:t>да бъдат в сила и действие по отношение на задължения на страните по тях, които</w:t>
      </w:r>
      <w:r w:rsidRPr="009963CE">
        <w:rPr>
          <w:b w:val="0"/>
          <w:i w:val="0"/>
          <w:iCs/>
          <w:sz w:val="24"/>
          <w:szCs w:val="24"/>
        </w:rPr>
        <w:t xml:space="preserve"> </w:t>
      </w:r>
      <w:r w:rsidRPr="009963CE">
        <w:rPr>
          <w:b w:val="0"/>
          <w:i w:val="0"/>
          <w:iCs/>
          <w:sz w:val="24"/>
          <w:szCs w:val="24"/>
          <w:lang w:eastAsia="x-none"/>
        </w:rPr>
        <w:t xml:space="preserve">следва да  бъдат изпълнени или спазени предвид условията и естеството им, </w:t>
      </w:r>
      <w:r w:rsidRPr="00F93E3F">
        <w:rPr>
          <w:b w:val="0"/>
          <w:i w:val="0"/>
          <w:iCs/>
          <w:sz w:val="24"/>
          <w:szCs w:val="24"/>
          <w:lang w:eastAsia="x-none"/>
        </w:rPr>
        <w:t>включително и финансови такива.</w:t>
      </w:r>
    </w:p>
    <w:p w14:paraId="564C961D" w14:textId="19C4FDA3" w:rsidR="00F93E3F" w:rsidRPr="00F93E3F" w:rsidRDefault="00F93E3F" w:rsidP="0020540F">
      <w:pPr>
        <w:spacing w:after="0" w:line="240" w:lineRule="auto"/>
        <w:jc w:val="both"/>
        <w:rPr>
          <w:rFonts w:ascii="Times New Roman" w:hAnsi="Times New Roman" w:cs="Times New Roman"/>
          <w:bCs/>
          <w:kern w:val="36"/>
          <w:sz w:val="24"/>
          <w:szCs w:val="24"/>
        </w:rPr>
      </w:pPr>
      <w:r w:rsidRPr="00F93E3F">
        <w:rPr>
          <w:sz w:val="24"/>
          <w:szCs w:val="24"/>
          <w:lang w:eastAsia="x-none"/>
        </w:rPr>
        <w:tab/>
      </w:r>
      <w:r w:rsidRPr="00F93E3F">
        <w:rPr>
          <w:rFonts w:ascii="Times New Roman" w:hAnsi="Times New Roman" w:cs="Times New Roman"/>
          <w:sz w:val="24"/>
          <w:szCs w:val="24"/>
          <w:lang w:eastAsia="x-none"/>
        </w:rPr>
        <w:t xml:space="preserve">Към настоящия момент Националната здравноосигурителна каса </w:t>
      </w:r>
      <w:r w:rsidRPr="00F93E3F">
        <w:rPr>
          <w:rFonts w:ascii="Times New Roman" w:hAnsi="Times New Roman" w:cs="Times New Roman"/>
          <w:sz w:val="24"/>
          <w:szCs w:val="24"/>
          <w:lang w:val="en-US" w:eastAsia="x-none"/>
        </w:rPr>
        <w:t>(</w:t>
      </w:r>
      <w:r w:rsidRPr="00F93E3F">
        <w:rPr>
          <w:rFonts w:ascii="Times New Roman" w:hAnsi="Times New Roman" w:cs="Times New Roman"/>
          <w:sz w:val="24"/>
          <w:szCs w:val="24"/>
          <w:lang w:eastAsia="x-none"/>
        </w:rPr>
        <w:t>НЗОК</w:t>
      </w:r>
      <w:r w:rsidRPr="00F93E3F">
        <w:rPr>
          <w:rFonts w:ascii="Times New Roman" w:hAnsi="Times New Roman" w:cs="Times New Roman"/>
          <w:sz w:val="24"/>
          <w:szCs w:val="24"/>
          <w:lang w:val="en-US" w:eastAsia="x-none"/>
        </w:rPr>
        <w:t>)</w:t>
      </w:r>
      <w:r w:rsidRPr="00F93E3F">
        <w:rPr>
          <w:rFonts w:ascii="Times New Roman" w:hAnsi="Times New Roman" w:cs="Times New Roman"/>
          <w:sz w:val="24"/>
          <w:szCs w:val="24"/>
          <w:lang w:eastAsia="x-none"/>
        </w:rPr>
        <w:t xml:space="preserve"> вече разполага с </w:t>
      </w:r>
      <w:r w:rsidRPr="00F93E3F">
        <w:rPr>
          <w:rFonts w:ascii="Times New Roman" w:hAnsi="Times New Roman" w:cs="Times New Roman"/>
          <w:bCs/>
          <w:kern w:val="36"/>
          <w:sz w:val="24"/>
          <w:szCs w:val="24"/>
        </w:rPr>
        <w:t xml:space="preserve">окончателните данни от интегрираната информационна система на НЗОК за годишните разходи за цялата 2025 г. </w:t>
      </w:r>
      <w:r w:rsidRPr="00F93E3F">
        <w:rPr>
          <w:rFonts w:ascii="Times New Roman" w:hAnsi="Times New Roman" w:cs="Times New Roman"/>
          <w:sz w:val="24"/>
          <w:szCs w:val="24"/>
          <w:lang w:eastAsia="x-none"/>
        </w:rPr>
        <w:t xml:space="preserve"> за </w:t>
      </w:r>
      <w:r w:rsidRPr="00F93E3F">
        <w:rPr>
          <w:rFonts w:ascii="Times New Roman" w:hAnsi="Times New Roman" w:cs="Times New Roman"/>
          <w:bCs/>
          <w:kern w:val="36"/>
          <w:sz w:val="24"/>
          <w:szCs w:val="24"/>
        </w:rPr>
        <w:t xml:space="preserve">лекарствените продукти, реимбурсирани от НЗОК, по основни групи: </w:t>
      </w:r>
    </w:p>
    <w:p w14:paraId="7677850A" w14:textId="77777777" w:rsidR="00F93E3F" w:rsidRPr="00F93E3F" w:rsidRDefault="00F93E3F" w:rsidP="0020540F">
      <w:pPr>
        <w:spacing w:after="0" w:line="240" w:lineRule="auto"/>
        <w:ind w:firstLine="709"/>
        <w:jc w:val="both"/>
        <w:rPr>
          <w:rFonts w:ascii="Times New Roman" w:hAnsi="Times New Roman"/>
          <w:sz w:val="24"/>
          <w:szCs w:val="24"/>
        </w:rPr>
      </w:pPr>
      <w:r w:rsidRPr="00F93E3F">
        <w:rPr>
          <w:rFonts w:ascii="Times New Roman" w:hAnsi="Times New Roman"/>
          <w:sz w:val="24"/>
          <w:szCs w:val="24"/>
        </w:rPr>
        <w:t>1. основна група „</w:t>
      </w:r>
      <w:r w:rsidRPr="00F93E3F">
        <w:rPr>
          <w:rFonts w:ascii="Times New Roman" w:hAnsi="Times New Roman"/>
          <w:sz w:val="24"/>
          <w:szCs w:val="24"/>
          <w:lang w:val="en-US"/>
        </w:rPr>
        <w:t>K</w:t>
      </w:r>
      <w:r w:rsidRPr="00F93E3F">
        <w:rPr>
          <w:rFonts w:ascii="Times New Roman" w:hAnsi="Times New Roman"/>
          <w:sz w:val="24"/>
          <w:szCs w:val="24"/>
        </w:rPr>
        <w:t>“, регламентирана в чл. 1, ал. 2, ред 1.1.3.5.3.1. от ЗБНЗОК за 2025 г. - лекарствени продукти за домашно лечение на територията на страната, назначени с протокол, за които се извършва експертиза по чл.78, т.2 от ЗЗО, с изключение на лекарствените продукти за вродени коагулопатии за домашно лечение на територията на страната;</w:t>
      </w:r>
    </w:p>
    <w:p w14:paraId="6237D781" w14:textId="77777777" w:rsidR="00F93E3F" w:rsidRPr="00F93E3F" w:rsidRDefault="00F93E3F" w:rsidP="0020540F">
      <w:pPr>
        <w:spacing w:after="0" w:line="240" w:lineRule="auto"/>
        <w:ind w:firstLine="709"/>
        <w:jc w:val="both"/>
        <w:rPr>
          <w:rFonts w:ascii="Times New Roman" w:hAnsi="Times New Roman"/>
          <w:sz w:val="24"/>
          <w:szCs w:val="24"/>
        </w:rPr>
      </w:pPr>
      <w:r w:rsidRPr="00F93E3F">
        <w:rPr>
          <w:rFonts w:ascii="Times New Roman" w:hAnsi="Times New Roman"/>
          <w:sz w:val="24"/>
          <w:szCs w:val="24"/>
        </w:rPr>
        <w:t>2.  основна група „</w:t>
      </w:r>
      <w:r w:rsidRPr="00F93E3F">
        <w:rPr>
          <w:rFonts w:ascii="Times New Roman" w:hAnsi="Times New Roman"/>
          <w:sz w:val="24"/>
          <w:szCs w:val="24"/>
          <w:lang w:val="en-US"/>
        </w:rPr>
        <w:t>L</w:t>
      </w:r>
      <w:r w:rsidRPr="00F93E3F">
        <w:rPr>
          <w:rFonts w:ascii="Times New Roman" w:hAnsi="Times New Roman"/>
          <w:sz w:val="24"/>
          <w:szCs w:val="24"/>
        </w:rPr>
        <w:t>“, регламентирана в чл. 1, ал. 2, ред 1.1.3.5.3.2. от ЗБНЗОК за 2025 г. - лекарствени продукти за домашно лечение на територията на страната, назначени без протокол, за които не се извършва експертиза по чл.78, т.2 от ЗЗО и за лекарствени продукти по лекарско предписание за домашно лечение на остри инфекциозни заболявания, включително антибактериални лекарствени продукти, на територията на страната на лица до 7 годишна възраст;</w:t>
      </w:r>
    </w:p>
    <w:p w14:paraId="135347E8" w14:textId="77777777" w:rsidR="00F93E3F" w:rsidRPr="00F93E3F" w:rsidRDefault="00F93E3F" w:rsidP="0020540F">
      <w:pPr>
        <w:spacing w:after="0" w:line="240" w:lineRule="auto"/>
        <w:ind w:firstLine="709"/>
        <w:jc w:val="both"/>
        <w:rPr>
          <w:rFonts w:ascii="Times New Roman" w:hAnsi="Times New Roman"/>
          <w:sz w:val="24"/>
          <w:szCs w:val="24"/>
        </w:rPr>
      </w:pPr>
      <w:r w:rsidRPr="00F93E3F">
        <w:rPr>
          <w:rFonts w:ascii="Times New Roman" w:hAnsi="Times New Roman"/>
          <w:sz w:val="24"/>
          <w:szCs w:val="24"/>
        </w:rPr>
        <w:t>3. основна група „</w:t>
      </w:r>
      <w:r w:rsidRPr="00F93E3F">
        <w:rPr>
          <w:rFonts w:ascii="Times New Roman" w:hAnsi="Times New Roman"/>
          <w:sz w:val="24"/>
          <w:szCs w:val="24"/>
          <w:lang w:val="en-US"/>
        </w:rPr>
        <w:t>M</w:t>
      </w:r>
      <w:r w:rsidRPr="00F93E3F">
        <w:rPr>
          <w:rFonts w:ascii="Times New Roman" w:hAnsi="Times New Roman"/>
          <w:sz w:val="24"/>
          <w:szCs w:val="24"/>
        </w:rPr>
        <w:t xml:space="preserve">“, регламентирана в чл.1, ал. 2, ред 1.1.3.5.4. от ЗБНЗОК за 2025 г. - </w:t>
      </w:r>
      <w:bookmarkStart w:id="0" w:name="_Hlk194329287"/>
      <w:r w:rsidRPr="00F93E3F">
        <w:rPr>
          <w:rFonts w:ascii="Times New Roman" w:hAnsi="Times New Roman"/>
          <w:sz w:val="24"/>
          <w:szCs w:val="24"/>
        </w:rPr>
        <w:t xml:space="preserve">лекарствени продукти за </w:t>
      </w:r>
      <w:bookmarkEnd w:id="0"/>
      <w:r w:rsidRPr="00F93E3F">
        <w:rPr>
          <w:rFonts w:ascii="Times New Roman" w:hAnsi="Times New Roman"/>
          <w:sz w:val="24"/>
          <w:szCs w:val="24"/>
        </w:rPr>
        <w:t>лечение на злокачествени заболявания, включени в пакета здравни дейности, гарантиран от бюджета на НЗОК, и прилагани в условията на болничната медицинска помощ, които НЗОК заплаща извън стойността на оказваните медицински услуги;</w:t>
      </w:r>
    </w:p>
    <w:p w14:paraId="7CFA532A" w14:textId="77777777" w:rsidR="00F93E3F" w:rsidRPr="00F93E3F" w:rsidRDefault="00F93E3F" w:rsidP="0020540F">
      <w:pPr>
        <w:spacing w:after="0" w:line="240" w:lineRule="auto"/>
        <w:ind w:firstLine="709"/>
        <w:jc w:val="both"/>
        <w:rPr>
          <w:rFonts w:ascii="Times New Roman" w:hAnsi="Times New Roman"/>
          <w:sz w:val="24"/>
          <w:szCs w:val="24"/>
        </w:rPr>
      </w:pPr>
      <w:r w:rsidRPr="00F93E3F">
        <w:rPr>
          <w:rFonts w:ascii="Times New Roman" w:hAnsi="Times New Roman"/>
          <w:sz w:val="24"/>
          <w:szCs w:val="24"/>
        </w:rPr>
        <w:t xml:space="preserve">4. основна група “N”, регламентирана в чл.1, ал. 2, ред 1.1.3.5.5. от ЗБНЗОК за 2025 г. - </w:t>
      </w:r>
      <w:bookmarkStart w:id="1" w:name="_Hlk194329358"/>
      <w:r w:rsidRPr="00F93E3F">
        <w:rPr>
          <w:rFonts w:ascii="Times New Roman" w:hAnsi="Times New Roman"/>
          <w:sz w:val="24"/>
          <w:szCs w:val="24"/>
        </w:rPr>
        <w:t xml:space="preserve">лекарствени продукти </w:t>
      </w:r>
      <w:bookmarkEnd w:id="1"/>
      <w:r w:rsidRPr="00F93E3F">
        <w:rPr>
          <w:rFonts w:ascii="Times New Roman" w:hAnsi="Times New Roman"/>
          <w:sz w:val="24"/>
          <w:szCs w:val="24"/>
        </w:rPr>
        <w:t>за вродени коагулопатии за домашно лечение на територията на страната; лекарствени продукти  при животозастрашаващи кръвоизливи и спешни оперативни и инвазивни интервенции при пациенти с коагулопатии, включени в пакета здравни дейности, гарантиран от бюджета на НЗОК, и прилагани в условията на болничната медицинска помощ, които НЗОК заплаща извън стойността на оказаните медицински услуги;</w:t>
      </w:r>
    </w:p>
    <w:p w14:paraId="7A6440A4" w14:textId="2FE24DBC" w:rsidR="00F93E3F" w:rsidRPr="00FE12BF" w:rsidRDefault="00F93E3F" w:rsidP="0020540F">
      <w:pPr>
        <w:spacing w:after="0" w:line="240" w:lineRule="auto"/>
        <w:ind w:firstLine="709"/>
        <w:jc w:val="both"/>
        <w:rPr>
          <w:rFonts w:ascii="Times New Roman" w:hAnsi="Times New Roman"/>
          <w:sz w:val="24"/>
          <w:szCs w:val="24"/>
        </w:rPr>
      </w:pPr>
      <w:r w:rsidRPr="00F93E3F">
        <w:rPr>
          <w:rFonts w:ascii="Times New Roman" w:hAnsi="Times New Roman"/>
          <w:sz w:val="24"/>
          <w:szCs w:val="24"/>
        </w:rPr>
        <w:t>5.</w:t>
      </w:r>
      <w:r w:rsidRPr="00F93E3F">
        <w:rPr>
          <w:rFonts w:ascii="Times New Roman" w:hAnsi="Times New Roman"/>
          <w:b/>
          <w:bCs/>
          <w:sz w:val="24"/>
          <w:szCs w:val="24"/>
        </w:rPr>
        <w:t xml:space="preserve"> </w:t>
      </w:r>
      <w:r w:rsidRPr="00F93E3F">
        <w:rPr>
          <w:rFonts w:ascii="Times New Roman" w:hAnsi="Times New Roman"/>
          <w:sz w:val="24"/>
          <w:szCs w:val="24"/>
        </w:rPr>
        <w:t xml:space="preserve">основна група “P”, регламентирана в чл.1, ал. 2, ред 1.1.3.5.6. от ЗБНЗОК за 2025 г. - антинеопластични лекарствени продукти, принадлежащи към </w:t>
      </w:r>
      <w:r w:rsidRPr="00F93E3F">
        <w:rPr>
          <w:rFonts w:ascii="Times New Roman" w:hAnsi="Times New Roman"/>
          <w:sz w:val="24"/>
          <w:szCs w:val="24"/>
          <w:lang w:val="en-US"/>
        </w:rPr>
        <w:t>INN</w:t>
      </w:r>
      <w:r w:rsidRPr="00F93E3F">
        <w:rPr>
          <w:rFonts w:ascii="Times New Roman" w:hAnsi="Times New Roman"/>
          <w:sz w:val="24"/>
          <w:szCs w:val="24"/>
        </w:rPr>
        <w:t xml:space="preserve">, включен в списъка по </w:t>
      </w:r>
      <w:r w:rsidRPr="00F93E3F">
        <w:rPr>
          <w:rFonts w:ascii="Times New Roman" w:hAnsi="Times New Roman"/>
          <w:sz w:val="24"/>
          <w:szCs w:val="24"/>
        </w:rPr>
        <w:lastRenderedPageBreak/>
        <w:t xml:space="preserve">приложение №1 към ЗБНЗОК за 2025 г., прилагани при базова химиотерапия за лечение на злокачествени заболявания, включени в пакета здравни дейности, гарантиран от бюджета на НЗОК, и прилагани в условията на болнична медицинска помощ, които НЗОК заплаща извън </w:t>
      </w:r>
      <w:r w:rsidRPr="00FE12BF">
        <w:rPr>
          <w:rFonts w:ascii="Times New Roman" w:hAnsi="Times New Roman"/>
          <w:sz w:val="24"/>
          <w:szCs w:val="24"/>
        </w:rPr>
        <w:t>стойността на оказваните медицински услуги.</w:t>
      </w:r>
    </w:p>
    <w:p w14:paraId="2B3A17DC" w14:textId="77777777" w:rsidR="0020540F" w:rsidRPr="00FE12BF" w:rsidRDefault="0020540F" w:rsidP="0020540F">
      <w:pPr>
        <w:spacing w:after="0" w:line="240" w:lineRule="auto"/>
        <w:ind w:firstLine="709"/>
        <w:jc w:val="both"/>
        <w:rPr>
          <w:rFonts w:ascii="Times New Roman" w:hAnsi="Times New Roman"/>
          <w:sz w:val="24"/>
          <w:szCs w:val="24"/>
        </w:rPr>
      </w:pPr>
    </w:p>
    <w:p w14:paraId="1B5C5765" w14:textId="3A3A2E44" w:rsidR="0020540F" w:rsidRPr="00FE12BF" w:rsidRDefault="0020540F" w:rsidP="0020540F">
      <w:pPr>
        <w:spacing w:after="0" w:line="240" w:lineRule="auto"/>
        <w:jc w:val="both"/>
        <w:rPr>
          <w:rFonts w:ascii="Times New Roman" w:hAnsi="Times New Roman" w:cs="Times New Roman"/>
          <w:sz w:val="24"/>
          <w:szCs w:val="24"/>
          <w:lang w:eastAsia="x-none"/>
        </w:rPr>
      </w:pPr>
      <w:r w:rsidRPr="00FE12BF">
        <w:rPr>
          <w:rFonts w:ascii="Times New Roman" w:hAnsi="Times New Roman" w:cs="Times New Roman"/>
          <w:sz w:val="24"/>
          <w:szCs w:val="24"/>
          <w:lang w:eastAsia="x-none"/>
        </w:rPr>
        <w:tab/>
        <w:t>Годишните бюджети за 2025 г. за горепосочените пет основни групи лекарствени продукти са равни на целевите средства за т</w:t>
      </w:r>
      <w:r w:rsidR="00AA6D72" w:rsidRPr="00FE12BF">
        <w:rPr>
          <w:rFonts w:ascii="Times New Roman" w:hAnsi="Times New Roman" w:cs="Times New Roman"/>
          <w:sz w:val="24"/>
          <w:szCs w:val="24"/>
          <w:lang w:eastAsia="x-none"/>
        </w:rPr>
        <w:t>я</w:t>
      </w:r>
      <w:r w:rsidRPr="00FE12BF">
        <w:rPr>
          <w:rFonts w:ascii="Times New Roman" w:hAnsi="Times New Roman" w:cs="Times New Roman"/>
          <w:sz w:val="24"/>
          <w:szCs w:val="24"/>
          <w:lang w:eastAsia="x-none"/>
        </w:rPr>
        <w:t>х, предвидени в Закона за бюджета на Националната здравноосигурителна каса за 2025 г. тъй като през 2025 г.:</w:t>
      </w:r>
    </w:p>
    <w:p w14:paraId="2D50A417" w14:textId="1EF953DD" w:rsidR="0020540F" w:rsidRPr="00FE12BF" w:rsidRDefault="0020540F" w:rsidP="00BF7E1C">
      <w:pPr>
        <w:pStyle w:val="ListParagraph"/>
        <w:numPr>
          <w:ilvl w:val="0"/>
          <w:numId w:val="2"/>
        </w:numPr>
        <w:spacing w:after="0" w:line="240" w:lineRule="auto"/>
        <w:ind w:left="0" w:firstLine="567"/>
        <w:jc w:val="both"/>
        <w:rPr>
          <w:rFonts w:ascii="Times New Roman" w:hAnsi="Times New Roman" w:cs="Times New Roman"/>
          <w:sz w:val="24"/>
          <w:szCs w:val="24"/>
          <w:lang w:eastAsia="x-none"/>
        </w:rPr>
      </w:pPr>
      <w:r w:rsidRPr="00FE12BF">
        <w:rPr>
          <w:rFonts w:ascii="Times New Roman" w:hAnsi="Times New Roman" w:cs="Times New Roman"/>
          <w:sz w:val="24"/>
          <w:szCs w:val="24"/>
          <w:lang w:eastAsia="x-none"/>
        </w:rPr>
        <w:t xml:space="preserve">не са одобрявани </w:t>
      </w:r>
      <w:r w:rsidRPr="00FE12BF">
        <w:rPr>
          <w:rFonts w:ascii="Times New Roman" w:hAnsi="Times New Roman"/>
          <w:sz w:val="24"/>
          <w:szCs w:val="24"/>
          <w:lang w:val="x-none"/>
        </w:rPr>
        <w:t>компенсирани промени между показателите по бюджета на НЗОК за 2025 г. за основните групи лекарствени продукти на основание чл. 115, ал. 2 от Закона за публичните финанси;</w:t>
      </w:r>
    </w:p>
    <w:p w14:paraId="2515CADB" w14:textId="0C1FF281" w:rsidR="0020540F" w:rsidRPr="00FE12BF" w:rsidRDefault="0020540F" w:rsidP="00BF7E1C">
      <w:pPr>
        <w:pStyle w:val="ListParagraph"/>
        <w:widowControl w:val="0"/>
        <w:numPr>
          <w:ilvl w:val="0"/>
          <w:numId w:val="2"/>
        </w:numPr>
        <w:autoSpaceDE w:val="0"/>
        <w:autoSpaceDN w:val="0"/>
        <w:adjustRightInd w:val="0"/>
        <w:spacing w:after="0" w:line="240" w:lineRule="auto"/>
        <w:ind w:left="0" w:firstLine="567"/>
        <w:jc w:val="both"/>
        <w:rPr>
          <w:rFonts w:ascii="Times New Roman" w:hAnsi="Times New Roman"/>
          <w:sz w:val="24"/>
          <w:szCs w:val="24"/>
          <w:lang w:val="x-none"/>
        </w:rPr>
      </w:pPr>
      <w:r w:rsidRPr="00FE12BF">
        <w:rPr>
          <w:rFonts w:ascii="Times New Roman" w:hAnsi="Times New Roman"/>
          <w:sz w:val="24"/>
          <w:szCs w:val="24"/>
          <w:lang w:val="x-none"/>
        </w:rPr>
        <w:t>не е извършвана актуализация на ЗБНЗОК за 2025 г. в частта му относно размера на средствата за здравноосигурителни плащания за определена/и основна/и група/и лекарствени продукти;</w:t>
      </w:r>
    </w:p>
    <w:p w14:paraId="6DBBD4A1" w14:textId="0D21A502" w:rsidR="0020540F" w:rsidRPr="00FE12BF" w:rsidRDefault="00456B3F" w:rsidP="00D7201D">
      <w:pPr>
        <w:pStyle w:val="ListParagraph"/>
        <w:widowControl w:val="0"/>
        <w:numPr>
          <w:ilvl w:val="0"/>
          <w:numId w:val="2"/>
        </w:numPr>
        <w:tabs>
          <w:tab w:val="left" w:pos="851"/>
        </w:tabs>
        <w:autoSpaceDE w:val="0"/>
        <w:autoSpaceDN w:val="0"/>
        <w:adjustRightInd w:val="0"/>
        <w:spacing w:after="0" w:line="240" w:lineRule="auto"/>
        <w:ind w:left="0" w:firstLine="567"/>
        <w:jc w:val="both"/>
        <w:rPr>
          <w:rFonts w:ascii="Times New Roman" w:hAnsi="Times New Roman"/>
          <w:sz w:val="24"/>
          <w:szCs w:val="24"/>
          <w:lang w:val="x-none"/>
        </w:rPr>
      </w:pPr>
      <w:r>
        <w:rPr>
          <w:rFonts w:ascii="Times New Roman" w:hAnsi="Times New Roman"/>
          <w:sz w:val="24"/>
          <w:szCs w:val="24"/>
          <w:lang w:val="x-none"/>
        </w:rPr>
        <w:t xml:space="preserve"> </w:t>
      </w:r>
      <w:r w:rsidR="0020540F" w:rsidRPr="00FE12BF">
        <w:rPr>
          <w:rFonts w:ascii="Times New Roman" w:hAnsi="Times New Roman"/>
          <w:sz w:val="24"/>
          <w:szCs w:val="24"/>
          <w:lang w:val="x-none"/>
        </w:rPr>
        <w:t>не е вземано решение на Надзорния съвет на НЗОК по чл. 15, ал. 1, т. 7 от ЗЗО за използване на средства от резерва на НЗОК за лекарствени продукти</w:t>
      </w:r>
      <w:r w:rsidR="00835570" w:rsidRPr="00FE12BF">
        <w:rPr>
          <w:rFonts w:ascii="Times New Roman" w:hAnsi="Times New Roman"/>
          <w:sz w:val="24"/>
          <w:szCs w:val="24"/>
          <w:lang w:val="x-none"/>
        </w:rPr>
        <w:t xml:space="preserve"> или решение</w:t>
      </w:r>
      <w:r w:rsidR="0020540F" w:rsidRPr="00FE12BF">
        <w:rPr>
          <w:rFonts w:ascii="Times New Roman" w:hAnsi="Times New Roman"/>
          <w:sz w:val="24"/>
          <w:szCs w:val="24"/>
          <w:lang w:val="x-none"/>
        </w:rPr>
        <w:t xml:space="preserve"> по § 1, ал. 1 от ПЗР на ЗБНЗОК за 2025 г. за използване на средства от преизпълнението на приходите от здравноосигурителни вноски за </w:t>
      </w:r>
      <w:r w:rsidR="00835570" w:rsidRPr="00FE12BF">
        <w:rPr>
          <w:rFonts w:ascii="Times New Roman" w:hAnsi="Times New Roman"/>
          <w:sz w:val="24"/>
          <w:szCs w:val="24"/>
          <w:lang w:val="x-none"/>
        </w:rPr>
        <w:t>лекарствени продукти.</w:t>
      </w:r>
    </w:p>
    <w:p w14:paraId="24D26B65" w14:textId="0092E703" w:rsidR="0020540F" w:rsidRPr="00FE12BF" w:rsidRDefault="00AA6D72" w:rsidP="00AA6D72">
      <w:pPr>
        <w:spacing w:after="0" w:line="240" w:lineRule="auto"/>
        <w:ind w:left="480"/>
        <w:jc w:val="both"/>
        <w:rPr>
          <w:rFonts w:ascii="Times New Roman" w:hAnsi="Times New Roman" w:cs="Times New Roman"/>
          <w:sz w:val="24"/>
          <w:szCs w:val="24"/>
          <w:lang w:eastAsia="x-none"/>
        </w:rPr>
      </w:pPr>
      <w:r w:rsidRPr="00FE12BF">
        <w:rPr>
          <w:rFonts w:ascii="Times New Roman" w:hAnsi="Times New Roman" w:cs="Times New Roman"/>
          <w:sz w:val="24"/>
          <w:szCs w:val="24"/>
          <w:lang w:eastAsia="x-none"/>
        </w:rPr>
        <w:t xml:space="preserve">Целевите средства за 2025 г. за всяка основна група лекарствени проукти са, както следва: </w:t>
      </w:r>
    </w:p>
    <w:p w14:paraId="053B8F49" w14:textId="753686B5" w:rsidR="0020540F" w:rsidRPr="00FF25F3" w:rsidRDefault="0020540F" w:rsidP="0020540F">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sidRPr="00FE12BF">
        <w:rPr>
          <w:rFonts w:ascii="Times New Roman" w:hAnsi="Times New Roman"/>
          <w:sz w:val="24"/>
          <w:szCs w:val="24"/>
          <w:lang w:val="x-none"/>
        </w:rPr>
        <w:t xml:space="preserve">1. целеви средства за лекарствените продукти по чл. 1, ал. 2, ред 1.1.3.5.3.1 от ЗБНЗОК за </w:t>
      </w:r>
      <w:r w:rsidRPr="00FF25F3">
        <w:rPr>
          <w:rFonts w:ascii="Times New Roman" w:hAnsi="Times New Roman" w:cs="Times New Roman"/>
          <w:sz w:val="24"/>
          <w:szCs w:val="24"/>
          <w:lang w:val="x-none"/>
        </w:rPr>
        <w:t xml:space="preserve">2025 г. в размер 719 835 200 лв.; </w:t>
      </w:r>
    </w:p>
    <w:p w14:paraId="58F4A741" w14:textId="24446FC8" w:rsidR="0020540F" w:rsidRPr="00FF25F3" w:rsidRDefault="0020540F" w:rsidP="0020540F">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sidRPr="00FF25F3">
        <w:rPr>
          <w:rFonts w:ascii="Times New Roman" w:hAnsi="Times New Roman" w:cs="Times New Roman"/>
          <w:sz w:val="24"/>
          <w:szCs w:val="24"/>
          <w:lang w:val="x-none"/>
        </w:rPr>
        <w:t>2. целеви средства за лекарствените продукти по чл. 1, ал. 2, ред 1.1.3.5.3.2 от ЗБНЗОК за 2025 г. в размер 390 325 900 лв.;</w:t>
      </w:r>
    </w:p>
    <w:p w14:paraId="3CC14A3F" w14:textId="70810C21" w:rsidR="0020540F" w:rsidRPr="00FF25F3" w:rsidRDefault="0020540F" w:rsidP="0020540F">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sidRPr="00FF25F3">
        <w:rPr>
          <w:rFonts w:ascii="Times New Roman" w:hAnsi="Times New Roman" w:cs="Times New Roman"/>
          <w:sz w:val="24"/>
          <w:szCs w:val="24"/>
          <w:lang w:val="x-none"/>
        </w:rPr>
        <w:t>3. целеви средства за лекарствените продукти по чл. 1, ал. 2, ред 1.1.3.5.4 от ЗБНЗОК за 2025 г. в размер 1 050 212 000 лв.;</w:t>
      </w:r>
    </w:p>
    <w:p w14:paraId="5E4A205C" w14:textId="21BB4696" w:rsidR="0020540F" w:rsidRPr="00FF25F3" w:rsidRDefault="0020540F" w:rsidP="0020540F">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sidRPr="00FF25F3">
        <w:rPr>
          <w:rFonts w:ascii="Times New Roman" w:hAnsi="Times New Roman" w:cs="Times New Roman"/>
          <w:sz w:val="24"/>
          <w:szCs w:val="24"/>
          <w:lang w:val="x-none"/>
        </w:rPr>
        <w:t>4. целеви средства за лекарствените продукти по чл. 1, ал. 2, ред 1.1.3.5.5 от ЗБНЗОК за 2025 г. в размер 52 415 400 лв.;</w:t>
      </w:r>
    </w:p>
    <w:p w14:paraId="5CC86294" w14:textId="2D449262" w:rsidR="0020540F" w:rsidRPr="00FF25F3" w:rsidRDefault="0020540F" w:rsidP="0020540F">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sidRPr="00FF25F3">
        <w:rPr>
          <w:rFonts w:ascii="Times New Roman" w:hAnsi="Times New Roman" w:cs="Times New Roman"/>
          <w:sz w:val="24"/>
          <w:szCs w:val="24"/>
          <w:lang w:val="x-none"/>
        </w:rPr>
        <w:t>5. целеви средства за лекарствените продукти по чл. 1, ал. 2, ред 1.1.3.5.6 от ЗБНЗОК за 2025 г. в размер 26 000 000 лв.</w:t>
      </w:r>
    </w:p>
    <w:p w14:paraId="7BEA135C" w14:textId="0B6DC6E5" w:rsidR="00F93E3F" w:rsidRDefault="00FE12BF" w:rsidP="00FE12BF">
      <w:pPr>
        <w:jc w:val="both"/>
        <w:rPr>
          <w:rFonts w:ascii="Times New Roman" w:hAnsi="Times New Roman" w:cs="Times New Roman"/>
          <w:sz w:val="24"/>
          <w:szCs w:val="24"/>
          <w:lang w:eastAsia="x-none"/>
        </w:rPr>
      </w:pPr>
      <w:r w:rsidRPr="00FF25F3">
        <w:rPr>
          <w:rFonts w:ascii="Times New Roman" w:hAnsi="Times New Roman" w:cs="Times New Roman"/>
          <w:sz w:val="24"/>
          <w:szCs w:val="24"/>
          <w:lang w:eastAsia="x-none"/>
        </w:rPr>
        <w:tab/>
      </w:r>
    </w:p>
    <w:p w14:paraId="69576EC5" w14:textId="77777777" w:rsidR="00BF7E1C" w:rsidRPr="00FF25F3" w:rsidRDefault="00BF7E1C" w:rsidP="00BF7E1C">
      <w:pPr>
        <w:ind w:firstLine="708"/>
        <w:jc w:val="both"/>
        <w:rPr>
          <w:rFonts w:ascii="Times New Roman" w:hAnsi="Times New Roman" w:cs="Times New Roman"/>
          <w:sz w:val="24"/>
          <w:szCs w:val="24"/>
        </w:rPr>
      </w:pPr>
      <w:r w:rsidRPr="00FF25F3">
        <w:rPr>
          <w:rFonts w:ascii="Times New Roman" w:hAnsi="Times New Roman" w:cs="Times New Roman"/>
          <w:bCs/>
          <w:kern w:val="36"/>
          <w:sz w:val="24"/>
          <w:szCs w:val="24"/>
        </w:rPr>
        <w:t xml:space="preserve">При прилагане на годишна база </w:t>
      </w:r>
      <w:r w:rsidRPr="00FF25F3">
        <w:rPr>
          <w:rFonts w:ascii="Times New Roman" w:hAnsi="Times New Roman" w:cs="Times New Roman"/>
          <w:bCs/>
          <w:kern w:val="36"/>
          <w:sz w:val="24"/>
          <w:szCs w:val="24"/>
          <w:lang w:val="en-US"/>
        </w:rPr>
        <w:t>(</w:t>
      </w:r>
      <w:r w:rsidRPr="00FF25F3">
        <w:rPr>
          <w:rFonts w:ascii="Times New Roman" w:hAnsi="Times New Roman" w:cs="Times New Roman"/>
          <w:bCs/>
          <w:kern w:val="36"/>
          <w:sz w:val="24"/>
          <w:szCs w:val="24"/>
        </w:rPr>
        <w:t>за цялата 2025 г.</w:t>
      </w:r>
      <w:r w:rsidRPr="00FF25F3">
        <w:rPr>
          <w:rFonts w:ascii="Times New Roman" w:hAnsi="Times New Roman" w:cs="Times New Roman"/>
          <w:bCs/>
          <w:kern w:val="36"/>
          <w:sz w:val="24"/>
          <w:szCs w:val="24"/>
          <w:lang w:val="en-US"/>
        </w:rPr>
        <w:t>)</w:t>
      </w:r>
      <w:r w:rsidRPr="00FF25F3">
        <w:rPr>
          <w:rFonts w:ascii="Times New Roman" w:hAnsi="Times New Roman" w:cs="Times New Roman"/>
          <w:bCs/>
          <w:kern w:val="36"/>
          <w:sz w:val="24"/>
          <w:szCs w:val="24"/>
        </w:rPr>
        <w:t xml:space="preserve"> на </w:t>
      </w:r>
      <w:r w:rsidRPr="00FF25F3">
        <w:rPr>
          <w:rFonts w:ascii="Times New Roman" w:hAnsi="Times New Roman" w:cs="Times New Roman"/>
          <w:i/>
          <w:iCs/>
          <w:sz w:val="24"/>
          <w:szCs w:val="24"/>
          <w:lang w:val="ru-RU"/>
        </w:rPr>
        <w:t>Механизма, гарантиращ предвидимост и устойчивост на бюджета на НЗОК за 2025 г.</w:t>
      </w:r>
      <w:r w:rsidRPr="00FF25F3">
        <w:rPr>
          <w:rFonts w:ascii="Times New Roman" w:hAnsi="Times New Roman" w:cs="Times New Roman"/>
          <w:i/>
          <w:iCs/>
          <w:sz w:val="24"/>
          <w:szCs w:val="24"/>
          <w:lang w:val="x-none"/>
        </w:rPr>
        <w:t xml:space="preserve"> за лекарствените продукти, заплащани напълно или частично със средства от бюджета на НЗОК</w:t>
      </w:r>
      <w:r w:rsidRPr="00FF25F3">
        <w:rPr>
          <w:rFonts w:ascii="Times New Roman" w:hAnsi="Times New Roman" w:cs="Times New Roman"/>
          <w:sz w:val="24"/>
          <w:szCs w:val="24"/>
        </w:rPr>
        <w:t xml:space="preserve"> </w:t>
      </w:r>
      <w:r w:rsidRPr="00FF25F3">
        <w:rPr>
          <w:rFonts w:ascii="Times New Roman" w:hAnsi="Times New Roman" w:cs="Times New Roman"/>
          <w:bCs/>
          <w:kern w:val="36"/>
          <w:sz w:val="24"/>
          <w:szCs w:val="24"/>
        </w:rPr>
        <w:t xml:space="preserve">и на </w:t>
      </w:r>
      <w:r w:rsidRPr="00FF25F3">
        <w:rPr>
          <w:rFonts w:ascii="Times New Roman" w:hAnsi="Times New Roman" w:cs="Times New Roman"/>
          <w:bCs/>
          <w:i/>
          <w:iCs/>
          <w:kern w:val="36"/>
          <w:sz w:val="24"/>
          <w:szCs w:val="24"/>
        </w:rPr>
        <w:t xml:space="preserve">Методиката по прилагане на </w:t>
      </w:r>
      <w:r w:rsidRPr="00FF25F3">
        <w:rPr>
          <w:rFonts w:ascii="Times New Roman" w:hAnsi="Times New Roman" w:cs="Times New Roman"/>
          <w:i/>
          <w:iCs/>
          <w:sz w:val="24"/>
          <w:szCs w:val="24"/>
          <w:lang w:val="ru-RU"/>
        </w:rPr>
        <w:t>Механизма, гарантиращ предвидимост и устойчивост на бюджета на НЗОК за 2025 г.</w:t>
      </w:r>
      <w:r w:rsidRPr="00FF25F3">
        <w:rPr>
          <w:rFonts w:ascii="Times New Roman" w:hAnsi="Times New Roman" w:cs="Times New Roman"/>
          <w:i/>
          <w:iCs/>
          <w:sz w:val="24"/>
          <w:szCs w:val="24"/>
          <w:lang w:val="x-none"/>
        </w:rPr>
        <w:t xml:space="preserve"> за лекарствените продукти, заплащани напълно или частично със средства от бюджета на НЗОК</w:t>
      </w:r>
      <w:r w:rsidRPr="00FF25F3">
        <w:rPr>
          <w:rFonts w:ascii="Times New Roman" w:hAnsi="Times New Roman" w:cs="Times New Roman"/>
          <w:sz w:val="24"/>
          <w:szCs w:val="24"/>
        </w:rPr>
        <w:t xml:space="preserve"> </w:t>
      </w:r>
      <w:r w:rsidRPr="00FF25F3">
        <w:rPr>
          <w:rFonts w:ascii="Times New Roman" w:hAnsi="Times New Roman" w:cs="Times New Roman"/>
          <w:bCs/>
          <w:kern w:val="36"/>
          <w:sz w:val="24"/>
          <w:szCs w:val="24"/>
        </w:rPr>
        <w:t>(обн. ДВ бр. 39 от 13.05.2025 г.), приети с Решение на Надзорния съвет на НЗОК № РД-НС-04-33 от 24.04.2025 г. на основание чл.15, ал. 1, т. 4а и чл. 45, ал. 31 от Закона за здравното осигуряване (ЗЗО), съобразно окончателните данни от интегрираната информационна система на НЗОК за годишните разходи за лекарствените продукти за 2025г., реимбурсирани от НЗОК, по основни групи за цялата 2025 г., НЗОК е установила</w:t>
      </w:r>
      <w:r w:rsidRPr="00FF25F3">
        <w:rPr>
          <w:rFonts w:ascii="Times New Roman" w:hAnsi="Times New Roman" w:cs="Times New Roman"/>
          <w:bCs/>
          <w:kern w:val="36"/>
          <w:sz w:val="24"/>
          <w:szCs w:val="24"/>
          <w:lang w:val="en-US"/>
        </w:rPr>
        <w:t>:</w:t>
      </w:r>
    </w:p>
    <w:p w14:paraId="5A4173D3" w14:textId="77777777" w:rsidR="00BF7E1C" w:rsidRPr="00FF25F3" w:rsidRDefault="00BF7E1C" w:rsidP="00BF7E1C">
      <w:pPr>
        <w:pStyle w:val="ListParagraph"/>
        <w:numPr>
          <w:ilvl w:val="0"/>
          <w:numId w:val="1"/>
        </w:numPr>
        <w:ind w:left="0" w:firstLine="708"/>
        <w:jc w:val="both"/>
        <w:outlineLvl w:val="0"/>
        <w:rPr>
          <w:rFonts w:ascii="Times New Roman" w:hAnsi="Times New Roman" w:cs="Times New Roman"/>
          <w:bCs/>
          <w:strike/>
          <w:kern w:val="36"/>
          <w:sz w:val="24"/>
          <w:szCs w:val="24"/>
          <w:lang w:val="en-US"/>
        </w:rPr>
      </w:pPr>
      <w:r w:rsidRPr="00FF25F3">
        <w:rPr>
          <w:rFonts w:ascii="Times New Roman" w:hAnsi="Times New Roman" w:cs="Times New Roman"/>
          <w:bCs/>
          <w:kern w:val="36"/>
          <w:sz w:val="24"/>
          <w:szCs w:val="24"/>
        </w:rPr>
        <w:t xml:space="preserve">нетните разходи на НЗОК за лекарствените продукти, реимбурсирани напълно или частично от НЗОК, за цялата 2025 г. за всяка от основните групи лекарствени продукти (получени като от </w:t>
      </w:r>
      <w:r w:rsidRPr="00FF25F3">
        <w:rPr>
          <w:rFonts w:ascii="Times New Roman" w:hAnsi="Times New Roman" w:cs="Times New Roman"/>
          <w:sz w:val="24"/>
          <w:szCs w:val="24"/>
          <w:lang w:val="x-none"/>
        </w:rPr>
        <w:t>брутните разходи на НЗОК за 2025 г. за основната група лекарствени продукти се приспадне стойността на всички договорени в полза на НЗОК и заплатени/дължими отстъпки - задължителни и доброволни, за лекарствените продукти от основната група, за 2025 г., за които отстъпки НЗОК е сключила договори по чл. 45, ал. 22 от ЗЗО с ПРУ/УП за 2025 г., при условията и по реда на Наредба № 10</w:t>
      </w:r>
      <w:r w:rsidRPr="00FF25F3">
        <w:rPr>
          <w:rFonts w:ascii="Times New Roman" w:hAnsi="Times New Roman" w:cs="Times New Roman"/>
          <w:bCs/>
          <w:kern w:val="36"/>
          <w:sz w:val="24"/>
          <w:szCs w:val="24"/>
        </w:rPr>
        <w:t xml:space="preserve">), </w:t>
      </w:r>
    </w:p>
    <w:p w14:paraId="1C0553F3" w14:textId="77777777" w:rsidR="00BF7E1C" w:rsidRDefault="00BF7E1C" w:rsidP="00BF7E1C">
      <w:pPr>
        <w:numPr>
          <w:ilvl w:val="0"/>
          <w:numId w:val="1"/>
        </w:numPr>
        <w:tabs>
          <w:tab w:val="left" w:pos="993"/>
        </w:tabs>
        <w:spacing w:after="0" w:line="240" w:lineRule="auto"/>
        <w:ind w:left="0" w:firstLine="708"/>
        <w:jc w:val="both"/>
        <w:rPr>
          <w:rFonts w:ascii="Times New Roman" w:hAnsi="Times New Roman" w:cs="Times New Roman"/>
          <w:sz w:val="24"/>
          <w:szCs w:val="24"/>
        </w:rPr>
      </w:pPr>
      <w:proofErr w:type="spellStart"/>
      <w:r w:rsidRPr="00FF25F3">
        <w:rPr>
          <w:rFonts w:ascii="Times New Roman" w:hAnsi="Times New Roman" w:cs="Times New Roman"/>
          <w:sz w:val="24"/>
          <w:szCs w:val="24"/>
          <w:lang w:val="en-US"/>
        </w:rPr>
        <w:t>превишение</w:t>
      </w:r>
      <w:proofErr w:type="spellEnd"/>
      <w:r w:rsidRPr="00FF25F3">
        <w:rPr>
          <w:rFonts w:ascii="Times New Roman" w:hAnsi="Times New Roman" w:cs="Times New Roman"/>
          <w:sz w:val="24"/>
          <w:szCs w:val="24"/>
          <w:lang w:val="en-US"/>
        </w:rPr>
        <w:t xml:space="preserve"> </w:t>
      </w:r>
      <w:r w:rsidRPr="00FF25F3">
        <w:rPr>
          <w:rFonts w:ascii="Times New Roman" w:hAnsi="Times New Roman" w:cs="Times New Roman"/>
          <w:sz w:val="24"/>
          <w:szCs w:val="24"/>
        </w:rPr>
        <w:t>на годишните бюджети за 2025 г. на</w:t>
      </w:r>
      <w:r w:rsidRPr="00FF25F3">
        <w:rPr>
          <w:rFonts w:ascii="Times New Roman" w:hAnsi="Times New Roman" w:cs="Times New Roman"/>
          <w:sz w:val="24"/>
          <w:szCs w:val="24"/>
          <w:lang w:val="en-US"/>
        </w:rPr>
        <w:t xml:space="preserve"> </w:t>
      </w:r>
      <w:proofErr w:type="spellStart"/>
      <w:r w:rsidRPr="00FF25F3">
        <w:rPr>
          <w:rFonts w:ascii="Times New Roman" w:hAnsi="Times New Roman" w:cs="Times New Roman"/>
          <w:sz w:val="24"/>
          <w:szCs w:val="24"/>
          <w:lang w:val="en-US"/>
        </w:rPr>
        <w:t>основни</w:t>
      </w:r>
      <w:proofErr w:type="spellEnd"/>
      <w:r w:rsidRPr="00FF25F3">
        <w:rPr>
          <w:rFonts w:ascii="Times New Roman" w:hAnsi="Times New Roman" w:cs="Times New Roman"/>
          <w:sz w:val="24"/>
          <w:szCs w:val="24"/>
        </w:rPr>
        <w:t>те</w:t>
      </w:r>
      <w:r w:rsidRPr="00FF25F3">
        <w:rPr>
          <w:rFonts w:ascii="Times New Roman" w:hAnsi="Times New Roman" w:cs="Times New Roman"/>
          <w:sz w:val="24"/>
          <w:szCs w:val="24"/>
          <w:lang w:val="en-US"/>
        </w:rPr>
        <w:t xml:space="preserve"> </w:t>
      </w:r>
      <w:proofErr w:type="spellStart"/>
      <w:r w:rsidRPr="00FF25F3">
        <w:rPr>
          <w:rFonts w:ascii="Times New Roman" w:hAnsi="Times New Roman" w:cs="Times New Roman"/>
          <w:sz w:val="24"/>
          <w:szCs w:val="24"/>
          <w:lang w:val="en-US"/>
        </w:rPr>
        <w:t>групи</w:t>
      </w:r>
      <w:proofErr w:type="spellEnd"/>
      <w:r w:rsidRPr="00FF25F3">
        <w:rPr>
          <w:rFonts w:ascii="Times New Roman" w:hAnsi="Times New Roman" w:cs="Times New Roman"/>
          <w:sz w:val="24"/>
          <w:szCs w:val="24"/>
          <w:lang w:val="en-US"/>
        </w:rPr>
        <w:t xml:space="preserve"> „</w:t>
      </w:r>
      <w:proofErr w:type="gramStart"/>
      <w:r w:rsidRPr="00FF25F3">
        <w:rPr>
          <w:rFonts w:ascii="Times New Roman" w:hAnsi="Times New Roman" w:cs="Times New Roman"/>
          <w:sz w:val="24"/>
          <w:szCs w:val="24"/>
          <w:lang w:val="en-US"/>
        </w:rPr>
        <w:t>K“</w:t>
      </w:r>
      <w:proofErr w:type="gramEnd"/>
      <w:r w:rsidRPr="00FF25F3">
        <w:rPr>
          <w:rFonts w:ascii="Times New Roman" w:hAnsi="Times New Roman" w:cs="Times New Roman"/>
          <w:sz w:val="24"/>
          <w:szCs w:val="24"/>
        </w:rPr>
        <w:t>,</w:t>
      </w:r>
      <w:r w:rsidRPr="00FF25F3">
        <w:rPr>
          <w:rFonts w:ascii="Times New Roman" w:hAnsi="Times New Roman" w:cs="Times New Roman"/>
          <w:sz w:val="24"/>
          <w:szCs w:val="24"/>
          <w:lang w:val="en-US"/>
        </w:rPr>
        <w:t xml:space="preserve"> „</w:t>
      </w:r>
      <w:proofErr w:type="gramStart"/>
      <w:r w:rsidRPr="00FF25F3">
        <w:rPr>
          <w:rFonts w:ascii="Times New Roman" w:hAnsi="Times New Roman" w:cs="Times New Roman"/>
          <w:sz w:val="24"/>
          <w:szCs w:val="24"/>
          <w:lang w:val="en-US"/>
        </w:rPr>
        <w:t xml:space="preserve">L“ </w:t>
      </w:r>
      <w:r w:rsidRPr="00FF25F3">
        <w:rPr>
          <w:rFonts w:ascii="Times New Roman" w:hAnsi="Times New Roman" w:cs="Times New Roman"/>
          <w:sz w:val="24"/>
          <w:szCs w:val="24"/>
        </w:rPr>
        <w:t>,</w:t>
      </w:r>
      <w:proofErr w:type="gramEnd"/>
      <w:r w:rsidRPr="00FF25F3">
        <w:rPr>
          <w:rFonts w:ascii="Times New Roman" w:hAnsi="Times New Roman" w:cs="Times New Roman"/>
          <w:sz w:val="24"/>
          <w:szCs w:val="24"/>
          <w:lang w:val="en-US"/>
        </w:rPr>
        <w:t xml:space="preserve"> „</w:t>
      </w:r>
      <w:proofErr w:type="gramStart"/>
      <w:r w:rsidRPr="00FF25F3">
        <w:rPr>
          <w:rFonts w:ascii="Times New Roman" w:hAnsi="Times New Roman" w:cs="Times New Roman"/>
          <w:sz w:val="24"/>
          <w:szCs w:val="24"/>
          <w:lang w:val="en-US"/>
        </w:rPr>
        <w:t xml:space="preserve">M“ </w:t>
      </w:r>
      <w:r w:rsidRPr="00FF25F3">
        <w:rPr>
          <w:rFonts w:ascii="Times New Roman" w:hAnsi="Times New Roman" w:cs="Times New Roman"/>
          <w:sz w:val="24"/>
          <w:szCs w:val="24"/>
        </w:rPr>
        <w:t xml:space="preserve"> </w:t>
      </w:r>
      <w:proofErr w:type="gramEnd"/>
      <w:r w:rsidRPr="00FF25F3">
        <w:rPr>
          <w:rFonts w:ascii="Times New Roman" w:hAnsi="Times New Roman" w:cs="Times New Roman"/>
          <w:sz w:val="24"/>
          <w:szCs w:val="24"/>
        </w:rPr>
        <w:t>и</w:t>
      </w:r>
      <w:r w:rsidRPr="00FF25F3">
        <w:rPr>
          <w:rFonts w:ascii="Times New Roman" w:hAnsi="Times New Roman" w:cs="Times New Roman"/>
          <w:sz w:val="24"/>
          <w:szCs w:val="24"/>
          <w:lang w:val="en-US"/>
        </w:rPr>
        <w:t xml:space="preserve"> „</w:t>
      </w:r>
      <w:proofErr w:type="gramStart"/>
      <w:r w:rsidRPr="00FF25F3">
        <w:rPr>
          <w:rFonts w:ascii="Times New Roman" w:hAnsi="Times New Roman" w:cs="Times New Roman"/>
          <w:sz w:val="24"/>
          <w:szCs w:val="24"/>
          <w:lang w:val="en-US"/>
        </w:rPr>
        <w:t>N“</w:t>
      </w:r>
      <w:proofErr w:type="gramEnd"/>
      <w:r w:rsidRPr="00FF25F3">
        <w:rPr>
          <w:rFonts w:ascii="Times New Roman" w:hAnsi="Times New Roman" w:cs="Times New Roman"/>
          <w:sz w:val="24"/>
          <w:szCs w:val="24"/>
        </w:rPr>
        <w:t>, както</w:t>
      </w:r>
      <w:r w:rsidRPr="00FF25F3">
        <w:rPr>
          <w:rFonts w:ascii="Times New Roman" w:hAnsi="Times New Roman" w:cs="Times New Roman"/>
          <w:sz w:val="24"/>
          <w:szCs w:val="24"/>
          <w:lang w:val="en-US"/>
        </w:rPr>
        <w:t xml:space="preserve"> и</w:t>
      </w:r>
      <w:r w:rsidRPr="00FF25F3">
        <w:rPr>
          <w:rFonts w:ascii="Times New Roman" w:hAnsi="Times New Roman" w:cs="Times New Roman"/>
          <w:sz w:val="24"/>
          <w:szCs w:val="24"/>
        </w:rPr>
        <w:t xml:space="preserve"> неусвояване на годишния бюджет за 2025 г. </w:t>
      </w:r>
      <w:r w:rsidRPr="00FF25F3">
        <w:rPr>
          <w:rFonts w:ascii="Times New Roman" w:hAnsi="Times New Roman" w:cs="Times New Roman"/>
          <w:sz w:val="24"/>
          <w:szCs w:val="24"/>
          <w:lang w:val="en-US"/>
        </w:rPr>
        <w:t xml:space="preserve"> </w:t>
      </w:r>
      <w:r w:rsidRPr="00FF25F3">
        <w:rPr>
          <w:rFonts w:ascii="Times New Roman" w:hAnsi="Times New Roman" w:cs="Times New Roman"/>
          <w:sz w:val="24"/>
          <w:szCs w:val="24"/>
        </w:rPr>
        <w:t xml:space="preserve">на основна група </w:t>
      </w:r>
      <w:r w:rsidRPr="00FF25F3">
        <w:rPr>
          <w:rFonts w:ascii="Times New Roman" w:hAnsi="Times New Roman" w:cs="Times New Roman"/>
          <w:sz w:val="24"/>
          <w:szCs w:val="24"/>
          <w:lang w:val="en-US"/>
        </w:rPr>
        <w:t>„P“:</w:t>
      </w:r>
    </w:p>
    <w:p w14:paraId="4D57FC27" w14:textId="77777777" w:rsidR="00BF7E1C" w:rsidRDefault="00BF7E1C" w:rsidP="00BF7E1C">
      <w:pPr>
        <w:spacing w:after="0" w:line="240" w:lineRule="auto"/>
        <w:jc w:val="both"/>
        <w:rPr>
          <w:rFonts w:ascii="Times New Roman" w:eastAsia="Times New Roman" w:hAnsi="Times New Roman" w:cs="Times New Roman"/>
          <w:color w:val="auto"/>
          <w:sz w:val="24"/>
          <w:szCs w:val="24"/>
          <w:lang w:eastAsia="en-US"/>
        </w:rPr>
      </w:pPr>
    </w:p>
    <w:p w14:paraId="68A0DA31" w14:textId="77777777" w:rsidR="00BF7E1C" w:rsidRPr="00BF7E1C" w:rsidRDefault="00BF7E1C" w:rsidP="00BF7E1C">
      <w:pPr>
        <w:spacing w:after="0" w:line="240" w:lineRule="auto"/>
        <w:jc w:val="both"/>
        <w:rPr>
          <w:rFonts w:ascii="Times New Roman" w:eastAsia="Times New Roman" w:hAnsi="Times New Roman" w:cs="Times New Roman"/>
          <w:color w:val="auto"/>
          <w:sz w:val="24"/>
          <w:szCs w:val="24"/>
          <w:lang w:eastAsia="en-US"/>
        </w:rPr>
      </w:pPr>
    </w:p>
    <w:p w14:paraId="4371486C" w14:textId="77777777" w:rsidR="00BF7E1C" w:rsidRPr="00BF7E1C" w:rsidRDefault="00BF7E1C" w:rsidP="00BF7E1C">
      <w:pPr>
        <w:spacing w:after="0" w:line="240" w:lineRule="auto"/>
        <w:ind w:firstLine="708"/>
        <w:jc w:val="both"/>
        <w:rPr>
          <w:rFonts w:ascii="Times New Roman" w:eastAsia="Times New Roman" w:hAnsi="Times New Roman" w:cs="Times New Roman"/>
          <w:strike/>
          <w:color w:val="auto"/>
          <w:sz w:val="24"/>
          <w:szCs w:val="24"/>
          <w:lang w:val="en-US" w:eastAsia="en-US"/>
        </w:rPr>
      </w:pPr>
    </w:p>
    <w:tbl>
      <w:tblPr>
        <w:tblW w:w="9612" w:type="dxa"/>
        <w:jc w:val="center"/>
        <w:tblCellMar>
          <w:left w:w="70" w:type="dxa"/>
          <w:right w:w="70" w:type="dxa"/>
        </w:tblCellMar>
        <w:tblLook w:val="04A0" w:firstRow="1" w:lastRow="0" w:firstColumn="1" w:lastColumn="0" w:noHBand="0" w:noVBand="1"/>
      </w:tblPr>
      <w:tblGrid>
        <w:gridCol w:w="923"/>
        <w:gridCol w:w="1874"/>
        <w:gridCol w:w="1418"/>
        <w:gridCol w:w="1346"/>
        <w:gridCol w:w="1347"/>
        <w:gridCol w:w="1352"/>
        <w:gridCol w:w="1352"/>
      </w:tblGrid>
      <w:tr w:rsidR="00BF7E1C" w:rsidRPr="00BF7E1C" w14:paraId="6BB73994" w14:textId="77777777" w:rsidTr="00BB0E04">
        <w:trPr>
          <w:trHeight w:val="915"/>
          <w:jc w:val="center"/>
        </w:trPr>
        <w:tc>
          <w:tcPr>
            <w:tcW w:w="923" w:type="dxa"/>
            <w:tcBorders>
              <w:top w:val="single" w:sz="4" w:space="0" w:color="auto"/>
              <w:left w:val="single" w:sz="4" w:space="0" w:color="auto"/>
              <w:bottom w:val="single" w:sz="4" w:space="0" w:color="auto"/>
              <w:right w:val="single" w:sz="4" w:space="0" w:color="auto"/>
            </w:tcBorders>
            <w:vAlign w:val="center"/>
            <w:hideMark/>
          </w:tcPr>
          <w:p w14:paraId="6BF4326B" w14:textId="77777777" w:rsidR="00BF7E1C" w:rsidRPr="00BF7E1C" w:rsidRDefault="00BF7E1C" w:rsidP="00BF7E1C">
            <w:pPr>
              <w:spacing w:after="0" w:line="240" w:lineRule="auto"/>
              <w:jc w:val="center"/>
              <w:rPr>
                <w:rFonts w:ascii="Times New Roman" w:eastAsia="Times New Roman" w:hAnsi="Times New Roman" w:cs="Times New Roman"/>
                <w:b/>
                <w:bCs/>
                <w:color w:val="auto"/>
                <w:sz w:val="20"/>
                <w:szCs w:val="20"/>
              </w:rPr>
            </w:pPr>
            <w:r w:rsidRPr="00BF7E1C">
              <w:rPr>
                <w:rFonts w:ascii="Times New Roman" w:eastAsia="Times New Roman" w:hAnsi="Times New Roman" w:cs="Times New Roman"/>
                <w:b/>
                <w:bCs/>
                <w:color w:val="auto"/>
                <w:sz w:val="20"/>
                <w:szCs w:val="20"/>
              </w:rPr>
              <w:lastRenderedPageBreak/>
              <w:t>Основна група</w:t>
            </w:r>
          </w:p>
        </w:tc>
        <w:tc>
          <w:tcPr>
            <w:tcW w:w="1874" w:type="dxa"/>
            <w:tcBorders>
              <w:top w:val="single" w:sz="4" w:space="0" w:color="auto"/>
              <w:left w:val="nil"/>
              <w:bottom w:val="single" w:sz="4" w:space="0" w:color="auto"/>
              <w:right w:val="single" w:sz="4" w:space="0" w:color="auto"/>
            </w:tcBorders>
            <w:vAlign w:val="center"/>
            <w:hideMark/>
          </w:tcPr>
          <w:p w14:paraId="123F3540" w14:textId="77777777" w:rsidR="00BF7E1C" w:rsidRPr="00BF7E1C" w:rsidRDefault="00BF7E1C" w:rsidP="00BF7E1C">
            <w:pPr>
              <w:spacing w:after="0" w:line="240" w:lineRule="auto"/>
              <w:jc w:val="center"/>
              <w:rPr>
                <w:rFonts w:ascii="Times New Roman" w:eastAsia="Times New Roman" w:hAnsi="Times New Roman" w:cs="Times New Roman"/>
                <w:b/>
                <w:bCs/>
                <w:color w:val="auto"/>
                <w:sz w:val="20"/>
                <w:szCs w:val="20"/>
              </w:rPr>
            </w:pPr>
            <w:r w:rsidRPr="00BF7E1C">
              <w:rPr>
                <w:rFonts w:ascii="Times New Roman" w:eastAsia="Times New Roman" w:hAnsi="Times New Roman" w:cs="Times New Roman"/>
                <w:b/>
                <w:bCs/>
                <w:color w:val="auto"/>
                <w:sz w:val="20"/>
                <w:szCs w:val="20"/>
              </w:rPr>
              <w:t>Годишен бюджет за основна група за 2025г., лв.</w:t>
            </w:r>
          </w:p>
        </w:tc>
        <w:tc>
          <w:tcPr>
            <w:tcW w:w="1418" w:type="dxa"/>
            <w:tcBorders>
              <w:top w:val="single" w:sz="4" w:space="0" w:color="auto"/>
              <w:left w:val="nil"/>
              <w:bottom w:val="single" w:sz="4" w:space="0" w:color="auto"/>
              <w:right w:val="single" w:sz="4" w:space="0" w:color="auto"/>
            </w:tcBorders>
            <w:vAlign w:val="center"/>
            <w:hideMark/>
          </w:tcPr>
          <w:p w14:paraId="1DEA8DD3" w14:textId="77777777" w:rsidR="00BF7E1C" w:rsidRPr="00BF7E1C" w:rsidRDefault="00BF7E1C" w:rsidP="00BF7E1C">
            <w:pPr>
              <w:spacing w:after="0" w:line="240" w:lineRule="auto"/>
              <w:jc w:val="center"/>
              <w:rPr>
                <w:rFonts w:ascii="Times New Roman" w:eastAsia="Times New Roman" w:hAnsi="Times New Roman" w:cs="Times New Roman"/>
                <w:b/>
                <w:bCs/>
                <w:color w:val="auto"/>
                <w:sz w:val="20"/>
                <w:szCs w:val="20"/>
              </w:rPr>
            </w:pPr>
            <w:r w:rsidRPr="00BF7E1C">
              <w:rPr>
                <w:rFonts w:ascii="Times New Roman" w:eastAsia="Times New Roman" w:hAnsi="Times New Roman" w:cs="Times New Roman"/>
                <w:b/>
                <w:bCs/>
                <w:color w:val="auto"/>
                <w:sz w:val="20"/>
                <w:szCs w:val="20"/>
              </w:rPr>
              <w:t>Нетен разход за 2025г., лв.</w:t>
            </w:r>
          </w:p>
        </w:tc>
        <w:tc>
          <w:tcPr>
            <w:tcW w:w="1346" w:type="dxa"/>
            <w:tcBorders>
              <w:top w:val="single" w:sz="4" w:space="0" w:color="auto"/>
              <w:left w:val="nil"/>
              <w:bottom w:val="single" w:sz="4" w:space="0" w:color="auto"/>
              <w:right w:val="single" w:sz="4" w:space="0" w:color="auto"/>
            </w:tcBorders>
            <w:vAlign w:val="center"/>
            <w:hideMark/>
          </w:tcPr>
          <w:p w14:paraId="4A4FAC9F" w14:textId="77777777" w:rsidR="00BF7E1C" w:rsidRPr="00BF7E1C" w:rsidRDefault="00BF7E1C" w:rsidP="00BF7E1C">
            <w:pPr>
              <w:spacing w:after="0" w:line="240" w:lineRule="auto"/>
              <w:jc w:val="center"/>
              <w:rPr>
                <w:rFonts w:ascii="Times New Roman" w:eastAsia="Times New Roman" w:hAnsi="Times New Roman" w:cs="Times New Roman"/>
                <w:b/>
                <w:bCs/>
                <w:color w:val="auto"/>
                <w:sz w:val="20"/>
                <w:szCs w:val="20"/>
              </w:rPr>
            </w:pPr>
            <w:r w:rsidRPr="00BF7E1C">
              <w:rPr>
                <w:rFonts w:ascii="Times New Roman" w:eastAsia="Times New Roman" w:hAnsi="Times New Roman" w:cs="Times New Roman"/>
                <w:b/>
                <w:bCs/>
                <w:color w:val="auto"/>
                <w:sz w:val="20"/>
                <w:szCs w:val="20"/>
              </w:rPr>
              <w:t>Превишение, лв.</w:t>
            </w:r>
          </w:p>
        </w:tc>
        <w:tc>
          <w:tcPr>
            <w:tcW w:w="1347" w:type="dxa"/>
            <w:tcBorders>
              <w:top w:val="single" w:sz="4" w:space="0" w:color="auto"/>
              <w:left w:val="nil"/>
              <w:bottom w:val="single" w:sz="4" w:space="0" w:color="auto"/>
              <w:right w:val="single" w:sz="4" w:space="0" w:color="auto"/>
            </w:tcBorders>
            <w:vAlign w:val="center"/>
            <w:hideMark/>
          </w:tcPr>
          <w:p w14:paraId="6D9E28D9" w14:textId="77777777" w:rsidR="00BF7E1C" w:rsidRPr="00BF7E1C" w:rsidRDefault="00BF7E1C" w:rsidP="00BF7E1C">
            <w:pPr>
              <w:spacing w:after="0" w:line="240" w:lineRule="auto"/>
              <w:jc w:val="center"/>
              <w:rPr>
                <w:rFonts w:ascii="Times New Roman" w:eastAsia="Times New Roman" w:hAnsi="Times New Roman" w:cs="Times New Roman"/>
                <w:b/>
                <w:bCs/>
                <w:color w:val="auto"/>
                <w:sz w:val="20"/>
                <w:szCs w:val="20"/>
              </w:rPr>
            </w:pPr>
            <w:r w:rsidRPr="00BF7E1C">
              <w:rPr>
                <w:rFonts w:ascii="Times New Roman" w:eastAsia="Times New Roman" w:hAnsi="Times New Roman" w:cs="Times New Roman"/>
                <w:b/>
                <w:bCs/>
                <w:color w:val="auto"/>
                <w:sz w:val="20"/>
                <w:szCs w:val="20"/>
              </w:rPr>
              <w:t>Превишение, лв./евро</w:t>
            </w:r>
          </w:p>
        </w:tc>
        <w:tc>
          <w:tcPr>
            <w:tcW w:w="1352" w:type="dxa"/>
            <w:tcBorders>
              <w:top w:val="single" w:sz="4" w:space="0" w:color="auto"/>
              <w:left w:val="nil"/>
              <w:bottom w:val="single" w:sz="4" w:space="0" w:color="auto"/>
              <w:right w:val="single" w:sz="4" w:space="0" w:color="auto"/>
            </w:tcBorders>
            <w:vAlign w:val="center"/>
            <w:hideMark/>
          </w:tcPr>
          <w:p w14:paraId="67920BE9" w14:textId="77777777" w:rsidR="00BF7E1C" w:rsidRPr="00BF7E1C" w:rsidRDefault="00BF7E1C" w:rsidP="00BF7E1C">
            <w:pPr>
              <w:spacing w:after="0" w:line="240" w:lineRule="auto"/>
              <w:jc w:val="center"/>
              <w:rPr>
                <w:rFonts w:ascii="Times New Roman" w:eastAsia="Times New Roman" w:hAnsi="Times New Roman" w:cs="Times New Roman"/>
                <w:b/>
                <w:bCs/>
                <w:color w:val="auto"/>
                <w:sz w:val="20"/>
                <w:szCs w:val="20"/>
              </w:rPr>
            </w:pPr>
            <w:r w:rsidRPr="00BF7E1C">
              <w:rPr>
                <w:rFonts w:ascii="Times New Roman" w:eastAsia="Times New Roman" w:hAnsi="Times New Roman" w:cs="Times New Roman"/>
                <w:b/>
                <w:bCs/>
                <w:color w:val="auto"/>
                <w:sz w:val="20"/>
                <w:szCs w:val="20"/>
              </w:rPr>
              <w:t>Неусвояване, лв.</w:t>
            </w:r>
          </w:p>
        </w:tc>
        <w:tc>
          <w:tcPr>
            <w:tcW w:w="1352" w:type="dxa"/>
            <w:tcBorders>
              <w:top w:val="single" w:sz="4" w:space="0" w:color="auto"/>
              <w:left w:val="nil"/>
              <w:bottom w:val="single" w:sz="4" w:space="0" w:color="auto"/>
              <w:right w:val="single" w:sz="4" w:space="0" w:color="auto"/>
            </w:tcBorders>
            <w:vAlign w:val="center"/>
            <w:hideMark/>
          </w:tcPr>
          <w:p w14:paraId="68DFC5E1" w14:textId="77777777" w:rsidR="00BF7E1C" w:rsidRPr="00BF7E1C" w:rsidRDefault="00BF7E1C" w:rsidP="00BF7E1C">
            <w:pPr>
              <w:spacing w:after="0" w:line="240" w:lineRule="auto"/>
              <w:jc w:val="center"/>
              <w:rPr>
                <w:rFonts w:ascii="Times New Roman" w:eastAsia="Times New Roman" w:hAnsi="Times New Roman" w:cs="Times New Roman"/>
                <w:b/>
                <w:bCs/>
                <w:color w:val="auto"/>
                <w:sz w:val="20"/>
                <w:szCs w:val="20"/>
              </w:rPr>
            </w:pPr>
            <w:r w:rsidRPr="00BF7E1C">
              <w:rPr>
                <w:rFonts w:ascii="Times New Roman" w:eastAsia="Times New Roman" w:hAnsi="Times New Roman" w:cs="Times New Roman"/>
                <w:b/>
                <w:bCs/>
                <w:color w:val="auto"/>
                <w:sz w:val="20"/>
                <w:szCs w:val="20"/>
              </w:rPr>
              <w:t>Неусвояване, евро</w:t>
            </w:r>
          </w:p>
        </w:tc>
      </w:tr>
      <w:tr w:rsidR="00BF7E1C" w:rsidRPr="00BF7E1C" w14:paraId="1DC0BA3E" w14:textId="77777777" w:rsidTr="00BB0E04">
        <w:trPr>
          <w:trHeight w:val="300"/>
          <w:jc w:val="center"/>
        </w:trPr>
        <w:tc>
          <w:tcPr>
            <w:tcW w:w="923" w:type="dxa"/>
            <w:tcBorders>
              <w:top w:val="nil"/>
              <w:left w:val="single" w:sz="4" w:space="0" w:color="auto"/>
              <w:bottom w:val="single" w:sz="4" w:space="0" w:color="auto"/>
              <w:right w:val="single" w:sz="4" w:space="0" w:color="auto"/>
            </w:tcBorders>
            <w:noWrap/>
            <w:vAlign w:val="center"/>
            <w:hideMark/>
          </w:tcPr>
          <w:p w14:paraId="6F28D1BB" w14:textId="77777777" w:rsidR="00BF7E1C" w:rsidRPr="00BF7E1C" w:rsidRDefault="00BF7E1C" w:rsidP="00BF7E1C">
            <w:pPr>
              <w:spacing w:after="0" w:line="240" w:lineRule="auto"/>
              <w:rPr>
                <w:rFonts w:ascii="Times New Roman" w:eastAsia="Times New Roman" w:hAnsi="Times New Roman" w:cs="Times New Roman"/>
                <w:color w:val="auto"/>
                <w:sz w:val="20"/>
                <w:szCs w:val="20"/>
              </w:rPr>
            </w:pPr>
            <w:r w:rsidRPr="00BF7E1C">
              <w:rPr>
                <w:rFonts w:ascii="Times New Roman" w:eastAsia="Times New Roman" w:hAnsi="Times New Roman" w:cs="Times New Roman"/>
                <w:color w:val="auto"/>
                <w:sz w:val="20"/>
                <w:szCs w:val="20"/>
              </w:rPr>
              <w:t>K</w:t>
            </w:r>
          </w:p>
        </w:tc>
        <w:tc>
          <w:tcPr>
            <w:tcW w:w="1874" w:type="dxa"/>
            <w:tcBorders>
              <w:top w:val="nil"/>
              <w:left w:val="nil"/>
              <w:bottom w:val="single" w:sz="4" w:space="0" w:color="auto"/>
              <w:right w:val="single" w:sz="4" w:space="0" w:color="auto"/>
            </w:tcBorders>
            <w:noWrap/>
            <w:vAlign w:val="center"/>
            <w:hideMark/>
          </w:tcPr>
          <w:p w14:paraId="0C02F397" w14:textId="77777777" w:rsidR="00BF7E1C" w:rsidRPr="00BF7E1C" w:rsidRDefault="00BF7E1C" w:rsidP="00BF7E1C">
            <w:pPr>
              <w:spacing w:after="0" w:line="240" w:lineRule="auto"/>
              <w:jc w:val="right"/>
              <w:rPr>
                <w:rFonts w:ascii="Times New Roman" w:eastAsia="Times New Roman" w:hAnsi="Times New Roman" w:cs="Times New Roman"/>
                <w:color w:val="auto"/>
                <w:sz w:val="20"/>
                <w:szCs w:val="20"/>
              </w:rPr>
            </w:pPr>
            <w:r w:rsidRPr="00BF7E1C">
              <w:rPr>
                <w:rFonts w:ascii="Times New Roman" w:eastAsia="Times New Roman" w:hAnsi="Times New Roman" w:cs="Times New Roman"/>
                <w:color w:val="auto"/>
                <w:sz w:val="20"/>
                <w:szCs w:val="20"/>
              </w:rPr>
              <w:t>719 835 200</w:t>
            </w:r>
          </w:p>
        </w:tc>
        <w:tc>
          <w:tcPr>
            <w:tcW w:w="1418" w:type="dxa"/>
            <w:tcBorders>
              <w:top w:val="nil"/>
              <w:left w:val="nil"/>
              <w:bottom w:val="single" w:sz="4" w:space="0" w:color="auto"/>
              <w:right w:val="single" w:sz="4" w:space="0" w:color="auto"/>
            </w:tcBorders>
            <w:noWrap/>
            <w:vAlign w:val="center"/>
            <w:hideMark/>
          </w:tcPr>
          <w:p w14:paraId="684796AF" w14:textId="77777777" w:rsidR="00BF7E1C" w:rsidRPr="00BF7E1C" w:rsidRDefault="00BF7E1C" w:rsidP="00BF7E1C">
            <w:pPr>
              <w:spacing w:after="0" w:line="240" w:lineRule="auto"/>
              <w:jc w:val="right"/>
              <w:rPr>
                <w:rFonts w:ascii="Times New Roman" w:eastAsia="Times New Roman" w:hAnsi="Times New Roman" w:cs="Times New Roman"/>
                <w:color w:val="auto"/>
                <w:sz w:val="20"/>
                <w:szCs w:val="20"/>
              </w:rPr>
            </w:pPr>
            <w:r w:rsidRPr="00BF7E1C">
              <w:rPr>
                <w:rFonts w:ascii="Times New Roman" w:eastAsia="Times New Roman" w:hAnsi="Times New Roman" w:cs="Times New Roman"/>
                <w:color w:val="auto"/>
                <w:sz w:val="20"/>
                <w:szCs w:val="20"/>
              </w:rPr>
              <w:t>908 441 636</w:t>
            </w:r>
          </w:p>
        </w:tc>
        <w:tc>
          <w:tcPr>
            <w:tcW w:w="1346" w:type="dxa"/>
            <w:tcBorders>
              <w:top w:val="nil"/>
              <w:left w:val="nil"/>
              <w:bottom w:val="single" w:sz="4" w:space="0" w:color="auto"/>
              <w:right w:val="single" w:sz="4" w:space="0" w:color="auto"/>
            </w:tcBorders>
            <w:noWrap/>
            <w:vAlign w:val="center"/>
            <w:hideMark/>
          </w:tcPr>
          <w:p w14:paraId="1D6CA592" w14:textId="77777777" w:rsidR="00BF7E1C" w:rsidRPr="00BF7E1C" w:rsidRDefault="00BF7E1C" w:rsidP="00BF7E1C">
            <w:pPr>
              <w:spacing w:after="0" w:line="240" w:lineRule="auto"/>
              <w:jc w:val="right"/>
              <w:rPr>
                <w:rFonts w:ascii="Times New Roman" w:eastAsia="Times New Roman" w:hAnsi="Times New Roman" w:cs="Times New Roman"/>
                <w:color w:val="auto"/>
                <w:sz w:val="20"/>
                <w:szCs w:val="20"/>
              </w:rPr>
            </w:pPr>
            <w:r w:rsidRPr="00BF7E1C">
              <w:rPr>
                <w:rFonts w:ascii="Times New Roman" w:eastAsia="Times New Roman" w:hAnsi="Times New Roman" w:cs="Times New Roman"/>
                <w:color w:val="auto"/>
                <w:sz w:val="20"/>
                <w:szCs w:val="20"/>
              </w:rPr>
              <w:t>188 606 436</w:t>
            </w:r>
          </w:p>
        </w:tc>
        <w:tc>
          <w:tcPr>
            <w:tcW w:w="1347" w:type="dxa"/>
            <w:tcBorders>
              <w:top w:val="nil"/>
              <w:left w:val="nil"/>
              <w:bottom w:val="single" w:sz="4" w:space="0" w:color="auto"/>
              <w:right w:val="single" w:sz="4" w:space="0" w:color="auto"/>
            </w:tcBorders>
            <w:noWrap/>
            <w:vAlign w:val="center"/>
            <w:hideMark/>
          </w:tcPr>
          <w:p w14:paraId="6C189E63" w14:textId="77777777" w:rsidR="00BF7E1C" w:rsidRPr="00BF7E1C" w:rsidRDefault="00BF7E1C" w:rsidP="00BF7E1C">
            <w:pPr>
              <w:spacing w:after="0" w:line="240" w:lineRule="auto"/>
              <w:jc w:val="right"/>
              <w:rPr>
                <w:rFonts w:ascii="Times New Roman" w:eastAsia="Times New Roman" w:hAnsi="Times New Roman" w:cs="Times New Roman"/>
                <w:color w:val="auto"/>
                <w:sz w:val="20"/>
                <w:szCs w:val="20"/>
              </w:rPr>
            </w:pPr>
            <w:r w:rsidRPr="00BF7E1C">
              <w:rPr>
                <w:rFonts w:ascii="Times New Roman" w:eastAsia="Times New Roman" w:hAnsi="Times New Roman" w:cs="Times New Roman"/>
                <w:color w:val="auto"/>
                <w:sz w:val="20"/>
                <w:szCs w:val="20"/>
              </w:rPr>
              <w:t>96 432 939</w:t>
            </w:r>
          </w:p>
        </w:tc>
        <w:tc>
          <w:tcPr>
            <w:tcW w:w="1352" w:type="dxa"/>
            <w:tcBorders>
              <w:top w:val="nil"/>
              <w:left w:val="nil"/>
              <w:bottom w:val="single" w:sz="4" w:space="0" w:color="auto"/>
              <w:right w:val="single" w:sz="4" w:space="0" w:color="auto"/>
            </w:tcBorders>
            <w:noWrap/>
            <w:vAlign w:val="center"/>
            <w:hideMark/>
          </w:tcPr>
          <w:p w14:paraId="07813FB1" w14:textId="77777777" w:rsidR="00BF7E1C" w:rsidRPr="00BF7E1C" w:rsidRDefault="00BF7E1C" w:rsidP="00BF7E1C">
            <w:pPr>
              <w:spacing w:after="0" w:line="240" w:lineRule="auto"/>
              <w:jc w:val="right"/>
              <w:rPr>
                <w:rFonts w:ascii="Times New Roman" w:eastAsia="Times New Roman" w:hAnsi="Times New Roman" w:cs="Times New Roman"/>
                <w:color w:val="auto"/>
                <w:sz w:val="20"/>
                <w:szCs w:val="20"/>
              </w:rPr>
            </w:pPr>
            <w:r w:rsidRPr="00BF7E1C">
              <w:rPr>
                <w:rFonts w:ascii="Times New Roman" w:eastAsia="Times New Roman" w:hAnsi="Times New Roman" w:cs="Times New Roman"/>
                <w:color w:val="auto"/>
                <w:sz w:val="20"/>
                <w:szCs w:val="20"/>
              </w:rPr>
              <w:t> </w:t>
            </w:r>
          </w:p>
        </w:tc>
        <w:tc>
          <w:tcPr>
            <w:tcW w:w="1352" w:type="dxa"/>
            <w:tcBorders>
              <w:top w:val="nil"/>
              <w:left w:val="nil"/>
              <w:bottom w:val="single" w:sz="4" w:space="0" w:color="auto"/>
              <w:right w:val="single" w:sz="4" w:space="0" w:color="auto"/>
            </w:tcBorders>
            <w:noWrap/>
            <w:vAlign w:val="center"/>
            <w:hideMark/>
          </w:tcPr>
          <w:p w14:paraId="0475295E" w14:textId="77777777" w:rsidR="00BF7E1C" w:rsidRPr="00BF7E1C" w:rsidRDefault="00BF7E1C" w:rsidP="00BF7E1C">
            <w:pPr>
              <w:spacing w:after="0" w:line="240" w:lineRule="auto"/>
              <w:jc w:val="right"/>
              <w:rPr>
                <w:rFonts w:ascii="Times New Roman" w:eastAsia="Times New Roman" w:hAnsi="Times New Roman" w:cs="Times New Roman"/>
                <w:color w:val="auto"/>
                <w:sz w:val="20"/>
                <w:szCs w:val="20"/>
              </w:rPr>
            </w:pPr>
            <w:r w:rsidRPr="00BF7E1C">
              <w:rPr>
                <w:rFonts w:ascii="Times New Roman" w:eastAsia="Times New Roman" w:hAnsi="Times New Roman" w:cs="Times New Roman"/>
                <w:color w:val="auto"/>
                <w:sz w:val="20"/>
                <w:szCs w:val="20"/>
              </w:rPr>
              <w:t> </w:t>
            </w:r>
          </w:p>
        </w:tc>
      </w:tr>
      <w:tr w:rsidR="00BF7E1C" w:rsidRPr="00BF7E1C" w14:paraId="0D6EB9B7" w14:textId="77777777" w:rsidTr="00BB0E04">
        <w:trPr>
          <w:trHeight w:val="300"/>
          <w:jc w:val="center"/>
        </w:trPr>
        <w:tc>
          <w:tcPr>
            <w:tcW w:w="923" w:type="dxa"/>
            <w:tcBorders>
              <w:top w:val="nil"/>
              <w:left w:val="single" w:sz="4" w:space="0" w:color="auto"/>
              <w:bottom w:val="single" w:sz="4" w:space="0" w:color="auto"/>
              <w:right w:val="single" w:sz="4" w:space="0" w:color="auto"/>
            </w:tcBorders>
            <w:noWrap/>
            <w:vAlign w:val="center"/>
            <w:hideMark/>
          </w:tcPr>
          <w:p w14:paraId="05B58DC1" w14:textId="77777777" w:rsidR="00BF7E1C" w:rsidRPr="00BF7E1C" w:rsidRDefault="00BF7E1C" w:rsidP="00BF7E1C">
            <w:pPr>
              <w:spacing w:after="0" w:line="240" w:lineRule="auto"/>
              <w:rPr>
                <w:rFonts w:ascii="Times New Roman" w:eastAsia="Times New Roman" w:hAnsi="Times New Roman" w:cs="Times New Roman"/>
                <w:color w:val="auto"/>
                <w:sz w:val="20"/>
                <w:szCs w:val="20"/>
              </w:rPr>
            </w:pPr>
            <w:r w:rsidRPr="00BF7E1C">
              <w:rPr>
                <w:rFonts w:ascii="Times New Roman" w:eastAsia="Times New Roman" w:hAnsi="Times New Roman" w:cs="Times New Roman"/>
                <w:color w:val="auto"/>
                <w:sz w:val="20"/>
                <w:szCs w:val="20"/>
              </w:rPr>
              <w:t>L</w:t>
            </w:r>
          </w:p>
        </w:tc>
        <w:tc>
          <w:tcPr>
            <w:tcW w:w="1874" w:type="dxa"/>
            <w:tcBorders>
              <w:top w:val="nil"/>
              <w:left w:val="nil"/>
              <w:bottom w:val="single" w:sz="4" w:space="0" w:color="auto"/>
              <w:right w:val="single" w:sz="4" w:space="0" w:color="auto"/>
            </w:tcBorders>
            <w:noWrap/>
            <w:vAlign w:val="center"/>
            <w:hideMark/>
          </w:tcPr>
          <w:p w14:paraId="210BE58E" w14:textId="77777777" w:rsidR="00BF7E1C" w:rsidRPr="00BF7E1C" w:rsidRDefault="00BF7E1C" w:rsidP="00BF7E1C">
            <w:pPr>
              <w:spacing w:after="0" w:line="240" w:lineRule="auto"/>
              <w:jc w:val="right"/>
              <w:rPr>
                <w:rFonts w:ascii="Times New Roman" w:eastAsia="Times New Roman" w:hAnsi="Times New Roman" w:cs="Times New Roman"/>
                <w:color w:val="auto"/>
                <w:sz w:val="20"/>
                <w:szCs w:val="20"/>
              </w:rPr>
            </w:pPr>
            <w:r w:rsidRPr="00BF7E1C">
              <w:rPr>
                <w:rFonts w:ascii="Times New Roman" w:eastAsia="Times New Roman" w:hAnsi="Times New Roman" w:cs="Times New Roman"/>
                <w:color w:val="auto"/>
                <w:sz w:val="20"/>
                <w:szCs w:val="20"/>
              </w:rPr>
              <w:t>390 325 900</w:t>
            </w:r>
          </w:p>
        </w:tc>
        <w:tc>
          <w:tcPr>
            <w:tcW w:w="1418" w:type="dxa"/>
            <w:tcBorders>
              <w:top w:val="nil"/>
              <w:left w:val="nil"/>
              <w:bottom w:val="single" w:sz="4" w:space="0" w:color="auto"/>
              <w:right w:val="single" w:sz="4" w:space="0" w:color="auto"/>
            </w:tcBorders>
            <w:noWrap/>
            <w:vAlign w:val="center"/>
            <w:hideMark/>
          </w:tcPr>
          <w:p w14:paraId="60723427" w14:textId="77777777" w:rsidR="00BF7E1C" w:rsidRPr="00BF7E1C" w:rsidRDefault="00BF7E1C" w:rsidP="00BF7E1C">
            <w:pPr>
              <w:spacing w:after="0" w:line="240" w:lineRule="auto"/>
              <w:jc w:val="right"/>
              <w:rPr>
                <w:rFonts w:ascii="Times New Roman" w:eastAsia="Times New Roman" w:hAnsi="Times New Roman" w:cs="Times New Roman"/>
                <w:color w:val="auto"/>
                <w:sz w:val="20"/>
                <w:szCs w:val="20"/>
              </w:rPr>
            </w:pPr>
            <w:r w:rsidRPr="00BF7E1C">
              <w:rPr>
                <w:rFonts w:ascii="Times New Roman" w:eastAsia="Times New Roman" w:hAnsi="Times New Roman" w:cs="Times New Roman"/>
                <w:color w:val="auto"/>
                <w:sz w:val="20"/>
                <w:szCs w:val="20"/>
              </w:rPr>
              <w:t>467 409 409</w:t>
            </w:r>
          </w:p>
        </w:tc>
        <w:tc>
          <w:tcPr>
            <w:tcW w:w="1346" w:type="dxa"/>
            <w:tcBorders>
              <w:top w:val="nil"/>
              <w:left w:val="nil"/>
              <w:bottom w:val="single" w:sz="4" w:space="0" w:color="auto"/>
              <w:right w:val="single" w:sz="4" w:space="0" w:color="auto"/>
            </w:tcBorders>
            <w:noWrap/>
            <w:vAlign w:val="center"/>
            <w:hideMark/>
          </w:tcPr>
          <w:p w14:paraId="1847A585" w14:textId="77777777" w:rsidR="00BF7E1C" w:rsidRPr="00BF7E1C" w:rsidRDefault="00BF7E1C" w:rsidP="00BF7E1C">
            <w:pPr>
              <w:spacing w:after="0" w:line="240" w:lineRule="auto"/>
              <w:jc w:val="right"/>
              <w:rPr>
                <w:rFonts w:ascii="Times New Roman" w:eastAsia="Times New Roman" w:hAnsi="Times New Roman" w:cs="Times New Roman"/>
                <w:color w:val="auto"/>
                <w:sz w:val="20"/>
                <w:szCs w:val="20"/>
              </w:rPr>
            </w:pPr>
            <w:r w:rsidRPr="00BF7E1C">
              <w:rPr>
                <w:rFonts w:ascii="Times New Roman" w:eastAsia="Times New Roman" w:hAnsi="Times New Roman" w:cs="Times New Roman"/>
                <w:color w:val="auto"/>
                <w:sz w:val="20"/>
                <w:szCs w:val="20"/>
              </w:rPr>
              <w:t>77 083 509</w:t>
            </w:r>
          </w:p>
        </w:tc>
        <w:tc>
          <w:tcPr>
            <w:tcW w:w="1347" w:type="dxa"/>
            <w:tcBorders>
              <w:top w:val="nil"/>
              <w:left w:val="nil"/>
              <w:bottom w:val="single" w:sz="4" w:space="0" w:color="auto"/>
              <w:right w:val="single" w:sz="4" w:space="0" w:color="auto"/>
            </w:tcBorders>
            <w:noWrap/>
            <w:vAlign w:val="center"/>
            <w:hideMark/>
          </w:tcPr>
          <w:p w14:paraId="0FA5A1A2" w14:textId="77777777" w:rsidR="00BF7E1C" w:rsidRPr="00BF7E1C" w:rsidRDefault="00BF7E1C" w:rsidP="00BF7E1C">
            <w:pPr>
              <w:spacing w:after="0" w:line="240" w:lineRule="auto"/>
              <w:jc w:val="right"/>
              <w:rPr>
                <w:rFonts w:ascii="Times New Roman" w:eastAsia="Times New Roman" w:hAnsi="Times New Roman" w:cs="Times New Roman"/>
                <w:color w:val="auto"/>
                <w:sz w:val="20"/>
                <w:szCs w:val="20"/>
              </w:rPr>
            </w:pPr>
            <w:r w:rsidRPr="00BF7E1C">
              <w:rPr>
                <w:rFonts w:ascii="Times New Roman" w:eastAsia="Times New Roman" w:hAnsi="Times New Roman" w:cs="Times New Roman"/>
                <w:color w:val="auto"/>
                <w:sz w:val="20"/>
                <w:szCs w:val="20"/>
              </w:rPr>
              <w:t>39 412 172</w:t>
            </w:r>
          </w:p>
        </w:tc>
        <w:tc>
          <w:tcPr>
            <w:tcW w:w="1352" w:type="dxa"/>
            <w:tcBorders>
              <w:top w:val="nil"/>
              <w:left w:val="nil"/>
              <w:bottom w:val="single" w:sz="4" w:space="0" w:color="auto"/>
              <w:right w:val="single" w:sz="4" w:space="0" w:color="auto"/>
            </w:tcBorders>
            <w:noWrap/>
            <w:vAlign w:val="center"/>
            <w:hideMark/>
          </w:tcPr>
          <w:p w14:paraId="60366DCF" w14:textId="77777777" w:rsidR="00BF7E1C" w:rsidRPr="00BF7E1C" w:rsidRDefault="00BF7E1C" w:rsidP="00BF7E1C">
            <w:pPr>
              <w:spacing w:after="0" w:line="240" w:lineRule="auto"/>
              <w:jc w:val="right"/>
              <w:rPr>
                <w:rFonts w:ascii="Times New Roman" w:eastAsia="Times New Roman" w:hAnsi="Times New Roman" w:cs="Times New Roman"/>
                <w:color w:val="auto"/>
                <w:sz w:val="20"/>
                <w:szCs w:val="20"/>
              </w:rPr>
            </w:pPr>
            <w:r w:rsidRPr="00BF7E1C">
              <w:rPr>
                <w:rFonts w:ascii="Times New Roman" w:eastAsia="Times New Roman" w:hAnsi="Times New Roman" w:cs="Times New Roman"/>
                <w:color w:val="auto"/>
                <w:sz w:val="20"/>
                <w:szCs w:val="20"/>
              </w:rPr>
              <w:t> </w:t>
            </w:r>
          </w:p>
        </w:tc>
        <w:tc>
          <w:tcPr>
            <w:tcW w:w="1352" w:type="dxa"/>
            <w:tcBorders>
              <w:top w:val="nil"/>
              <w:left w:val="nil"/>
              <w:bottom w:val="single" w:sz="4" w:space="0" w:color="auto"/>
              <w:right w:val="single" w:sz="4" w:space="0" w:color="auto"/>
            </w:tcBorders>
            <w:noWrap/>
            <w:vAlign w:val="center"/>
            <w:hideMark/>
          </w:tcPr>
          <w:p w14:paraId="231F939D" w14:textId="77777777" w:rsidR="00BF7E1C" w:rsidRPr="00BF7E1C" w:rsidRDefault="00BF7E1C" w:rsidP="00BF7E1C">
            <w:pPr>
              <w:spacing w:after="0" w:line="240" w:lineRule="auto"/>
              <w:jc w:val="right"/>
              <w:rPr>
                <w:rFonts w:ascii="Times New Roman" w:eastAsia="Times New Roman" w:hAnsi="Times New Roman" w:cs="Times New Roman"/>
                <w:color w:val="auto"/>
                <w:sz w:val="20"/>
                <w:szCs w:val="20"/>
              </w:rPr>
            </w:pPr>
            <w:r w:rsidRPr="00BF7E1C">
              <w:rPr>
                <w:rFonts w:ascii="Times New Roman" w:eastAsia="Times New Roman" w:hAnsi="Times New Roman" w:cs="Times New Roman"/>
                <w:color w:val="auto"/>
                <w:sz w:val="20"/>
                <w:szCs w:val="20"/>
              </w:rPr>
              <w:t> </w:t>
            </w:r>
          </w:p>
        </w:tc>
      </w:tr>
      <w:tr w:rsidR="00BF7E1C" w:rsidRPr="00BF7E1C" w14:paraId="004430BC" w14:textId="77777777" w:rsidTr="00BB0E04">
        <w:trPr>
          <w:trHeight w:val="300"/>
          <w:jc w:val="center"/>
        </w:trPr>
        <w:tc>
          <w:tcPr>
            <w:tcW w:w="923" w:type="dxa"/>
            <w:tcBorders>
              <w:top w:val="nil"/>
              <w:left w:val="single" w:sz="4" w:space="0" w:color="auto"/>
              <w:bottom w:val="single" w:sz="4" w:space="0" w:color="auto"/>
              <w:right w:val="single" w:sz="4" w:space="0" w:color="auto"/>
            </w:tcBorders>
            <w:noWrap/>
            <w:vAlign w:val="center"/>
            <w:hideMark/>
          </w:tcPr>
          <w:p w14:paraId="6BD7667D" w14:textId="77777777" w:rsidR="00BF7E1C" w:rsidRPr="00BF7E1C" w:rsidRDefault="00BF7E1C" w:rsidP="00BF7E1C">
            <w:pPr>
              <w:spacing w:after="0" w:line="240" w:lineRule="auto"/>
              <w:rPr>
                <w:rFonts w:ascii="Times New Roman" w:eastAsia="Times New Roman" w:hAnsi="Times New Roman" w:cs="Times New Roman"/>
                <w:color w:val="auto"/>
                <w:sz w:val="20"/>
                <w:szCs w:val="20"/>
              </w:rPr>
            </w:pPr>
            <w:r w:rsidRPr="00BF7E1C">
              <w:rPr>
                <w:rFonts w:ascii="Times New Roman" w:eastAsia="Times New Roman" w:hAnsi="Times New Roman" w:cs="Times New Roman"/>
                <w:color w:val="auto"/>
                <w:sz w:val="20"/>
                <w:szCs w:val="20"/>
              </w:rPr>
              <w:t>M</w:t>
            </w:r>
          </w:p>
        </w:tc>
        <w:tc>
          <w:tcPr>
            <w:tcW w:w="1874" w:type="dxa"/>
            <w:tcBorders>
              <w:top w:val="nil"/>
              <w:left w:val="nil"/>
              <w:bottom w:val="single" w:sz="4" w:space="0" w:color="auto"/>
              <w:right w:val="single" w:sz="4" w:space="0" w:color="auto"/>
            </w:tcBorders>
            <w:noWrap/>
            <w:vAlign w:val="center"/>
            <w:hideMark/>
          </w:tcPr>
          <w:p w14:paraId="4183AE6A" w14:textId="77777777" w:rsidR="00BF7E1C" w:rsidRPr="00BF7E1C" w:rsidRDefault="00BF7E1C" w:rsidP="00BF7E1C">
            <w:pPr>
              <w:spacing w:after="0" w:line="240" w:lineRule="auto"/>
              <w:jc w:val="right"/>
              <w:rPr>
                <w:rFonts w:ascii="Times New Roman" w:eastAsia="Times New Roman" w:hAnsi="Times New Roman" w:cs="Times New Roman"/>
                <w:color w:val="auto"/>
                <w:sz w:val="20"/>
                <w:szCs w:val="20"/>
              </w:rPr>
            </w:pPr>
            <w:r w:rsidRPr="00BF7E1C">
              <w:rPr>
                <w:rFonts w:ascii="Times New Roman" w:eastAsia="Times New Roman" w:hAnsi="Times New Roman" w:cs="Times New Roman"/>
                <w:color w:val="auto"/>
                <w:sz w:val="20"/>
                <w:szCs w:val="20"/>
              </w:rPr>
              <w:t>1 050 212 000</w:t>
            </w:r>
          </w:p>
        </w:tc>
        <w:tc>
          <w:tcPr>
            <w:tcW w:w="1418" w:type="dxa"/>
            <w:tcBorders>
              <w:top w:val="nil"/>
              <w:left w:val="nil"/>
              <w:bottom w:val="single" w:sz="4" w:space="0" w:color="auto"/>
              <w:right w:val="single" w:sz="4" w:space="0" w:color="auto"/>
            </w:tcBorders>
            <w:noWrap/>
            <w:vAlign w:val="center"/>
            <w:hideMark/>
          </w:tcPr>
          <w:p w14:paraId="73C6ECA6" w14:textId="77777777" w:rsidR="00BF7E1C" w:rsidRPr="00BF7E1C" w:rsidRDefault="00BF7E1C" w:rsidP="00BF7E1C">
            <w:pPr>
              <w:spacing w:after="0" w:line="240" w:lineRule="auto"/>
              <w:jc w:val="right"/>
              <w:rPr>
                <w:rFonts w:ascii="Times New Roman" w:eastAsia="Times New Roman" w:hAnsi="Times New Roman" w:cs="Times New Roman"/>
                <w:color w:val="auto"/>
                <w:sz w:val="20"/>
                <w:szCs w:val="20"/>
              </w:rPr>
            </w:pPr>
            <w:r w:rsidRPr="00BF7E1C">
              <w:rPr>
                <w:rFonts w:ascii="Times New Roman" w:eastAsia="Times New Roman" w:hAnsi="Times New Roman" w:cs="Times New Roman"/>
                <w:color w:val="auto"/>
                <w:sz w:val="20"/>
                <w:szCs w:val="20"/>
              </w:rPr>
              <w:t>1 377 828 822</w:t>
            </w:r>
          </w:p>
        </w:tc>
        <w:tc>
          <w:tcPr>
            <w:tcW w:w="1346" w:type="dxa"/>
            <w:tcBorders>
              <w:top w:val="nil"/>
              <w:left w:val="nil"/>
              <w:bottom w:val="single" w:sz="4" w:space="0" w:color="auto"/>
              <w:right w:val="single" w:sz="4" w:space="0" w:color="auto"/>
            </w:tcBorders>
            <w:noWrap/>
            <w:vAlign w:val="center"/>
            <w:hideMark/>
          </w:tcPr>
          <w:p w14:paraId="31719BD5" w14:textId="77777777" w:rsidR="00BF7E1C" w:rsidRPr="00BF7E1C" w:rsidRDefault="00BF7E1C" w:rsidP="00BF7E1C">
            <w:pPr>
              <w:spacing w:after="0" w:line="240" w:lineRule="auto"/>
              <w:jc w:val="right"/>
              <w:rPr>
                <w:rFonts w:ascii="Times New Roman" w:eastAsia="Times New Roman" w:hAnsi="Times New Roman" w:cs="Times New Roman"/>
                <w:color w:val="auto"/>
                <w:sz w:val="20"/>
                <w:szCs w:val="20"/>
              </w:rPr>
            </w:pPr>
            <w:r w:rsidRPr="00BF7E1C">
              <w:rPr>
                <w:rFonts w:ascii="Times New Roman" w:eastAsia="Times New Roman" w:hAnsi="Times New Roman" w:cs="Times New Roman"/>
                <w:color w:val="auto"/>
                <w:sz w:val="20"/>
                <w:szCs w:val="20"/>
              </w:rPr>
              <w:t>327 616 822</w:t>
            </w:r>
          </w:p>
        </w:tc>
        <w:tc>
          <w:tcPr>
            <w:tcW w:w="1347" w:type="dxa"/>
            <w:tcBorders>
              <w:top w:val="nil"/>
              <w:left w:val="nil"/>
              <w:bottom w:val="single" w:sz="4" w:space="0" w:color="auto"/>
              <w:right w:val="single" w:sz="4" w:space="0" w:color="auto"/>
            </w:tcBorders>
            <w:noWrap/>
            <w:vAlign w:val="center"/>
            <w:hideMark/>
          </w:tcPr>
          <w:p w14:paraId="6E741A36" w14:textId="77777777" w:rsidR="00BF7E1C" w:rsidRPr="00BF7E1C" w:rsidRDefault="00BF7E1C" w:rsidP="00BF7E1C">
            <w:pPr>
              <w:spacing w:after="0" w:line="240" w:lineRule="auto"/>
              <w:jc w:val="right"/>
              <w:rPr>
                <w:rFonts w:ascii="Times New Roman" w:eastAsia="Times New Roman" w:hAnsi="Times New Roman" w:cs="Times New Roman"/>
                <w:color w:val="auto"/>
                <w:sz w:val="20"/>
                <w:szCs w:val="20"/>
              </w:rPr>
            </w:pPr>
            <w:r w:rsidRPr="00BF7E1C">
              <w:rPr>
                <w:rFonts w:ascii="Times New Roman" w:eastAsia="Times New Roman" w:hAnsi="Times New Roman" w:cs="Times New Roman"/>
                <w:color w:val="auto"/>
                <w:sz w:val="20"/>
                <w:szCs w:val="20"/>
              </w:rPr>
              <w:t>167 507 821</w:t>
            </w:r>
          </w:p>
        </w:tc>
        <w:tc>
          <w:tcPr>
            <w:tcW w:w="1352" w:type="dxa"/>
            <w:tcBorders>
              <w:top w:val="nil"/>
              <w:left w:val="nil"/>
              <w:bottom w:val="single" w:sz="4" w:space="0" w:color="auto"/>
              <w:right w:val="single" w:sz="4" w:space="0" w:color="auto"/>
            </w:tcBorders>
            <w:noWrap/>
            <w:vAlign w:val="center"/>
            <w:hideMark/>
          </w:tcPr>
          <w:p w14:paraId="771E6FAB" w14:textId="77777777" w:rsidR="00BF7E1C" w:rsidRPr="00BF7E1C" w:rsidRDefault="00BF7E1C" w:rsidP="00BF7E1C">
            <w:pPr>
              <w:spacing w:after="0" w:line="240" w:lineRule="auto"/>
              <w:jc w:val="right"/>
              <w:rPr>
                <w:rFonts w:ascii="Times New Roman" w:eastAsia="Times New Roman" w:hAnsi="Times New Roman" w:cs="Times New Roman"/>
                <w:color w:val="auto"/>
                <w:sz w:val="20"/>
                <w:szCs w:val="20"/>
              </w:rPr>
            </w:pPr>
            <w:r w:rsidRPr="00BF7E1C">
              <w:rPr>
                <w:rFonts w:ascii="Times New Roman" w:eastAsia="Times New Roman" w:hAnsi="Times New Roman" w:cs="Times New Roman"/>
                <w:color w:val="auto"/>
                <w:sz w:val="20"/>
                <w:szCs w:val="20"/>
              </w:rPr>
              <w:t> </w:t>
            </w:r>
          </w:p>
        </w:tc>
        <w:tc>
          <w:tcPr>
            <w:tcW w:w="1352" w:type="dxa"/>
            <w:tcBorders>
              <w:top w:val="nil"/>
              <w:left w:val="nil"/>
              <w:bottom w:val="single" w:sz="4" w:space="0" w:color="auto"/>
              <w:right w:val="single" w:sz="4" w:space="0" w:color="auto"/>
            </w:tcBorders>
            <w:noWrap/>
            <w:vAlign w:val="center"/>
            <w:hideMark/>
          </w:tcPr>
          <w:p w14:paraId="65AEDC3E" w14:textId="77777777" w:rsidR="00BF7E1C" w:rsidRPr="00BF7E1C" w:rsidRDefault="00BF7E1C" w:rsidP="00BF7E1C">
            <w:pPr>
              <w:spacing w:after="0" w:line="240" w:lineRule="auto"/>
              <w:jc w:val="right"/>
              <w:rPr>
                <w:rFonts w:ascii="Times New Roman" w:eastAsia="Times New Roman" w:hAnsi="Times New Roman" w:cs="Times New Roman"/>
                <w:color w:val="auto"/>
                <w:sz w:val="20"/>
                <w:szCs w:val="20"/>
              </w:rPr>
            </w:pPr>
            <w:r w:rsidRPr="00BF7E1C">
              <w:rPr>
                <w:rFonts w:ascii="Times New Roman" w:eastAsia="Times New Roman" w:hAnsi="Times New Roman" w:cs="Times New Roman"/>
                <w:color w:val="auto"/>
                <w:sz w:val="20"/>
                <w:szCs w:val="20"/>
              </w:rPr>
              <w:t> </w:t>
            </w:r>
          </w:p>
        </w:tc>
      </w:tr>
      <w:tr w:rsidR="00BF7E1C" w:rsidRPr="00BF7E1C" w14:paraId="66BECDD0" w14:textId="77777777" w:rsidTr="00BB0E04">
        <w:trPr>
          <w:trHeight w:val="300"/>
          <w:jc w:val="center"/>
        </w:trPr>
        <w:tc>
          <w:tcPr>
            <w:tcW w:w="923" w:type="dxa"/>
            <w:tcBorders>
              <w:top w:val="nil"/>
              <w:left w:val="single" w:sz="4" w:space="0" w:color="auto"/>
              <w:bottom w:val="single" w:sz="4" w:space="0" w:color="auto"/>
              <w:right w:val="single" w:sz="4" w:space="0" w:color="auto"/>
            </w:tcBorders>
            <w:noWrap/>
            <w:vAlign w:val="center"/>
            <w:hideMark/>
          </w:tcPr>
          <w:p w14:paraId="530E5996" w14:textId="77777777" w:rsidR="00BF7E1C" w:rsidRPr="00BF7E1C" w:rsidRDefault="00BF7E1C" w:rsidP="00BF7E1C">
            <w:pPr>
              <w:spacing w:after="0" w:line="240" w:lineRule="auto"/>
              <w:rPr>
                <w:rFonts w:ascii="Times New Roman" w:eastAsia="Times New Roman" w:hAnsi="Times New Roman" w:cs="Times New Roman"/>
                <w:color w:val="auto"/>
                <w:sz w:val="20"/>
                <w:szCs w:val="20"/>
              </w:rPr>
            </w:pPr>
            <w:r w:rsidRPr="00BF7E1C">
              <w:rPr>
                <w:rFonts w:ascii="Times New Roman" w:eastAsia="Times New Roman" w:hAnsi="Times New Roman" w:cs="Times New Roman"/>
                <w:color w:val="auto"/>
                <w:sz w:val="20"/>
                <w:szCs w:val="20"/>
              </w:rPr>
              <w:t>N</w:t>
            </w:r>
          </w:p>
        </w:tc>
        <w:tc>
          <w:tcPr>
            <w:tcW w:w="1874" w:type="dxa"/>
            <w:tcBorders>
              <w:top w:val="nil"/>
              <w:left w:val="nil"/>
              <w:bottom w:val="single" w:sz="4" w:space="0" w:color="auto"/>
              <w:right w:val="single" w:sz="4" w:space="0" w:color="auto"/>
            </w:tcBorders>
            <w:noWrap/>
            <w:vAlign w:val="center"/>
            <w:hideMark/>
          </w:tcPr>
          <w:p w14:paraId="688FBFA9" w14:textId="77777777" w:rsidR="00BF7E1C" w:rsidRPr="00BF7E1C" w:rsidRDefault="00BF7E1C" w:rsidP="00BF7E1C">
            <w:pPr>
              <w:spacing w:after="0" w:line="240" w:lineRule="auto"/>
              <w:jc w:val="right"/>
              <w:rPr>
                <w:rFonts w:ascii="Times New Roman" w:eastAsia="Times New Roman" w:hAnsi="Times New Roman" w:cs="Times New Roman"/>
                <w:color w:val="auto"/>
                <w:sz w:val="20"/>
                <w:szCs w:val="20"/>
              </w:rPr>
            </w:pPr>
            <w:r w:rsidRPr="00BF7E1C">
              <w:rPr>
                <w:rFonts w:ascii="Times New Roman" w:eastAsia="Times New Roman" w:hAnsi="Times New Roman" w:cs="Times New Roman"/>
                <w:color w:val="auto"/>
                <w:sz w:val="20"/>
                <w:szCs w:val="20"/>
              </w:rPr>
              <w:t>52 415 400</w:t>
            </w:r>
          </w:p>
        </w:tc>
        <w:tc>
          <w:tcPr>
            <w:tcW w:w="1418" w:type="dxa"/>
            <w:tcBorders>
              <w:top w:val="nil"/>
              <w:left w:val="nil"/>
              <w:bottom w:val="single" w:sz="4" w:space="0" w:color="auto"/>
              <w:right w:val="single" w:sz="4" w:space="0" w:color="auto"/>
            </w:tcBorders>
            <w:noWrap/>
            <w:vAlign w:val="center"/>
            <w:hideMark/>
          </w:tcPr>
          <w:p w14:paraId="6DB89B65" w14:textId="77777777" w:rsidR="00BF7E1C" w:rsidRPr="00BF7E1C" w:rsidRDefault="00BF7E1C" w:rsidP="00BF7E1C">
            <w:pPr>
              <w:spacing w:after="0" w:line="240" w:lineRule="auto"/>
              <w:jc w:val="right"/>
              <w:rPr>
                <w:rFonts w:ascii="Times New Roman" w:eastAsia="Times New Roman" w:hAnsi="Times New Roman" w:cs="Times New Roman"/>
                <w:color w:val="auto"/>
                <w:sz w:val="20"/>
                <w:szCs w:val="20"/>
              </w:rPr>
            </w:pPr>
            <w:r w:rsidRPr="00BF7E1C">
              <w:rPr>
                <w:rFonts w:ascii="Times New Roman" w:eastAsia="Times New Roman" w:hAnsi="Times New Roman" w:cs="Times New Roman"/>
                <w:color w:val="auto"/>
                <w:sz w:val="20"/>
                <w:szCs w:val="20"/>
              </w:rPr>
              <w:t>55 489 186</w:t>
            </w:r>
          </w:p>
        </w:tc>
        <w:tc>
          <w:tcPr>
            <w:tcW w:w="1346" w:type="dxa"/>
            <w:tcBorders>
              <w:top w:val="nil"/>
              <w:left w:val="nil"/>
              <w:bottom w:val="single" w:sz="4" w:space="0" w:color="auto"/>
              <w:right w:val="single" w:sz="4" w:space="0" w:color="auto"/>
            </w:tcBorders>
            <w:noWrap/>
            <w:vAlign w:val="center"/>
            <w:hideMark/>
          </w:tcPr>
          <w:p w14:paraId="5E2E6C33" w14:textId="77777777" w:rsidR="00BF7E1C" w:rsidRPr="00BF7E1C" w:rsidRDefault="00BF7E1C" w:rsidP="00BF7E1C">
            <w:pPr>
              <w:spacing w:after="0" w:line="240" w:lineRule="auto"/>
              <w:jc w:val="right"/>
              <w:rPr>
                <w:rFonts w:ascii="Times New Roman" w:eastAsia="Times New Roman" w:hAnsi="Times New Roman" w:cs="Times New Roman"/>
                <w:color w:val="auto"/>
                <w:sz w:val="20"/>
                <w:szCs w:val="20"/>
              </w:rPr>
            </w:pPr>
            <w:r w:rsidRPr="00BF7E1C">
              <w:rPr>
                <w:rFonts w:ascii="Times New Roman" w:eastAsia="Times New Roman" w:hAnsi="Times New Roman" w:cs="Times New Roman"/>
                <w:color w:val="auto"/>
                <w:sz w:val="20"/>
                <w:szCs w:val="20"/>
              </w:rPr>
              <w:t>3 073 786</w:t>
            </w:r>
          </w:p>
        </w:tc>
        <w:tc>
          <w:tcPr>
            <w:tcW w:w="1347" w:type="dxa"/>
            <w:tcBorders>
              <w:top w:val="nil"/>
              <w:left w:val="nil"/>
              <w:bottom w:val="single" w:sz="4" w:space="0" w:color="auto"/>
              <w:right w:val="single" w:sz="4" w:space="0" w:color="auto"/>
            </w:tcBorders>
            <w:noWrap/>
            <w:vAlign w:val="center"/>
            <w:hideMark/>
          </w:tcPr>
          <w:p w14:paraId="35F9B9C5" w14:textId="77777777" w:rsidR="00BF7E1C" w:rsidRPr="00BF7E1C" w:rsidRDefault="00BF7E1C" w:rsidP="00BF7E1C">
            <w:pPr>
              <w:spacing w:after="0" w:line="240" w:lineRule="auto"/>
              <w:jc w:val="right"/>
              <w:rPr>
                <w:rFonts w:ascii="Times New Roman" w:eastAsia="Times New Roman" w:hAnsi="Times New Roman" w:cs="Times New Roman"/>
                <w:color w:val="auto"/>
                <w:sz w:val="20"/>
                <w:szCs w:val="20"/>
              </w:rPr>
            </w:pPr>
            <w:r w:rsidRPr="00BF7E1C">
              <w:rPr>
                <w:rFonts w:ascii="Times New Roman" w:eastAsia="Times New Roman" w:hAnsi="Times New Roman" w:cs="Times New Roman"/>
                <w:color w:val="auto"/>
                <w:sz w:val="20"/>
                <w:szCs w:val="20"/>
              </w:rPr>
              <w:t>1 571 602</w:t>
            </w:r>
          </w:p>
        </w:tc>
        <w:tc>
          <w:tcPr>
            <w:tcW w:w="1352" w:type="dxa"/>
            <w:tcBorders>
              <w:top w:val="nil"/>
              <w:left w:val="nil"/>
              <w:bottom w:val="single" w:sz="4" w:space="0" w:color="auto"/>
              <w:right w:val="single" w:sz="4" w:space="0" w:color="auto"/>
            </w:tcBorders>
            <w:noWrap/>
            <w:vAlign w:val="center"/>
            <w:hideMark/>
          </w:tcPr>
          <w:p w14:paraId="48587ADB" w14:textId="77777777" w:rsidR="00BF7E1C" w:rsidRPr="00BF7E1C" w:rsidRDefault="00BF7E1C" w:rsidP="00BF7E1C">
            <w:pPr>
              <w:spacing w:after="0" w:line="240" w:lineRule="auto"/>
              <w:jc w:val="right"/>
              <w:rPr>
                <w:rFonts w:ascii="Times New Roman" w:eastAsia="Times New Roman" w:hAnsi="Times New Roman" w:cs="Times New Roman"/>
                <w:color w:val="auto"/>
                <w:sz w:val="20"/>
                <w:szCs w:val="20"/>
              </w:rPr>
            </w:pPr>
            <w:r w:rsidRPr="00BF7E1C">
              <w:rPr>
                <w:rFonts w:ascii="Times New Roman" w:eastAsia="Times New Roman" w:hAnsi="Times New Roman" w:cs="Times New Roman"/>
                <w:color w:val="auto"/>
                <w:sz w:val="20"/>
                <w:szCs w:val="20"/>
              </w:rPr>
              <w:t> </w:t>
            </w:r>
          </w:p>
        </w:tc>
        <w:tc>
          <w:tcPr>
            <w:tcW w:w="1352" w:type="dxa"/>
            <w:tcBorders>
              <w:top w:val="nil"/>
              <w:left w:val="nil"/>
              <w:bottom w:val="single" w:sz="4" w:space="0" w:color="auto"/>
              <w:right w:val="single" w:sz="4" w:space="0" w:color="auto"/>
            </w:tcBorders>
            <w:noWrap/>
            <w:vAlign w:val="center"/>
            <w:hideMark/>
          </w:tcPr>
          <w:p w14:paraId="056DF78F" w14:textId="77777777" w:rsidR="00BF7E1C" w:rsidRPr="00BF7E1C" w:rsidRDefault="00BF7E1C" w:rsidP="00BF7E1C">
            <w:pPr>
              <w:spacing w:after="0" w:line="240" w:lineRule="auto"/>
              <w:jc w:val="right"/>
              <w:rPr>
                <w:rFonts w:ascii="Times New Roman" w:eastAsia="Times New Roman" w:hAnsi="Times New Roman" w:cs="Times New Roman"/>
                <w:color w:val="auto"/>
                <w:sz w:val="20"/>
                <w:szCs w:val="20"/>
              </w:rPr>
            </w:pPr>
            <w:r w:rsidRPr="00BF7E1C">
              <w:rPr>
                <w:rFonts w:ascii="Times New Roman" w:eastAsia="Times New Roman" w:hAnsi="Times New Roman" w:cs="Times New Roman"/>
                <w:color w:val="auto"/>
                <w:sz w:val="20"/>
                <w:szCs w:val="20"/>
              </w:rPr>
              <w:t> </w:t>
            </w:r>
          </w:p>
        </w:tc>
      </w:tr>
      <w:tr w:rsidR="00BF7E1C" w:rsidRPr="00BF7E1C" w14:paraId="54D0214B" w14:textId="77777777" w:rsidTr="00BB0E04">
        <w:trPr>
          <w:trHeight w:val="300"/>
          <w:jc w:val="center"/>
        </w:trPr>
        <w:tc>
          <w:tcPr>
            <w:tcW w:w="923" w:type="dxa"/>
            <w:tcBorders>
              <w:top w:val="nil"/>
              <w:left w:val="single" w:sz="4" w:space="0" w:color="auto"/>
              <w:bottom w:val="single" w:sz="4" w:space="0" w:color="auto"/>
              <w:right w:val="single" w:sz="4" w:space="0" w:color="auto"/>
            </w:tcBorders>
            <w:noWrap/>
            <w:vAlign w:val="center"/>
            <w:hideMark/>
          </w:tcPr>
          <w:p w14:paraId="40EA8C7D" w14:textId="77777777" w:rsidR="00BF7E1C" w:rsidRPr="00BF7E1C" w:rsidRDefault="00BF7E1C" w:rsidP="00BF7E1C">
            <w:pPr>
              <w:spacing w:after="0" w:line="240" w:lineRule="auto"/>
              <w:rPr>
                <w:rFonts w:ascii="Times New Roman" w:eastAsia="Times New Roman" w:hAnsi="Times New Roman" w:cs="Times New Roman"/>
                <w:color w:val="auto"/>
                <w:sz w:val="20"/>
                <w:szCs w:val="20"/>
              </w:rPr>
            </w:pPr>
            <w:r w:rsidRPr="00BF7E1C">
              <w:rPr>
                <w:rFonts w:ascii="Times New Roman" w:eastAsia="Times New Roman" w:hAnsi="Times New Roman" w:cs="Times New Roman"/>
                <w:color w:val="auto"/>
                <w:sz w:val="20"/>
                <w:szCs w:val="20"/>
              </w:rPr>
              <w:t>P</w:t>
            </w:r>
          </w:p>
        </w:tc>
        <w:tc>
          <w:tcPr>
            <w:tcW w:w="1874" w:type="dxa"/>
            <w:tcBorders>
              <w:top w:val="nil"/>
              <w:left w:val="nil"/>
              <w:bottom w:val="single" w:sz="4" w:space="0" w:color="auto"/>
              <w:right w:val="single" w:sz="4" w:space="0" w:color="auto"/>
            </w:tcBorders>
            <w:noWrap/>
            <w:vAlign w:val="center"/>
            <w:hideMark/>
          </w:tcPr>
          <w:p w14:paraId="011C6EC8" w14:textId="77777777" w:rsidR="00BF7E1C" w:rsidRPr="00BF7E1C" w:rsidRDefault="00BF7E1C" w:rsidP="00BF7E1C">
            <w:pPr>
              <w:spacing w:after="0" w:line="240" w:lineRule="auto"/>
              <w:jc w:val="right"/>
              <w:rPr>
                <w:rFonts w:ascii="Times New Roman" w:eastAsia="Times New Roman" w:hAnsi="Times New Roman" w:cs="Times New Roman"/>
                <w:color w:val="auto"/>
                <w:sz w:val="20"/>
                <w:szCs w:val="20"/>
              </w:rPr>
            </w:pPr>
            <w:r w:rsidRPr="00BF7E1C">
              <w:rPr>
                <w:rFonts w:ascii="Times New Roman" w:eastAsia="Times New Roman" w:hAnsi="Times New Roman" w:cs="Times New Roman"/>
                <w:color w:val="auto"/>
                <w:sz w:val="20"/>
                <w:szCs w:val="20"/>
              </w:rPr>
              <w:t>26 000 000</w:t>
            </w:r>
          </w:p>
        </w:tc>
        <w:tc>
          <w:tcPr>
            <w:tcW w:w="1418" w:type="dxa"/>
            <w:tcBorders>
              <w:top w:val="nil"/>
              <w:left w:val="nil"/>
              <w:bottom w:val="single" w:sz="4" w:space="0" w:color="auto"/>
              <w:right w:val="single" w:sz="4" w:space="0" w:color="auto"/>
            </w:tcBorders>
            <w:noWrap/>
            <w:vAlign w:val="center"/>
            <w:hideMark/>
          </w:tcPr>
          <w:p w14:paraId="3AD29A31" w14:textId="77777777" w:rsidR="00BF7E1C" w:rsidRPr="00BF7E1C" w:rsidRDefault="00BF7E1C" w:rsidP="00BF7E1C">
            <w:pPr>
              <w:spacing w:after="0" w:line="240" w:lineRule="auto"/>
              <w:jc w:val="right"/>
              <w:rPr>
                <w:rFonts w:ascii="Times New Roman" w:eastAsia="Times New Roman" w:hAnsi="Times New Roman" w:cs="Times New Roman"/>
                <w:color w:val="auto"/>
                <w:sz w:val="20"/>
                <w:szCs w:val="20"/>
              </w:rPr>
            </w:pPr>
            <w:r w:rsidRPr="00BF7E1C">
              <w:rPr>
                <w:rFonts w:ascii="Times New Roman" w:eastAsia="Times New Roman" w:hAnsi="Times New Roman" w:cs="Times New Roman"/>
                <w:color w:val="auto"/>
                <w:sz w:val="20"/>
                <w:szCs w:val="20"/>
              </w:rPr>
              <w:t>16 140 582</w:t>
            </w:r>
          </w:p>
        </w:tc>
        <w:tc>
          <w:tcPr>
            <w:tcW w:w="1346" w:type="dxa"/>
            <w:tcBorders>
              <w:top w:val="nil"/>
              <w:left w:val="nil"/>
              <w:bottom w:val="single" w:sz="4" w:space="0" w:color="auto"/>
              <w:right w:val="single" w:sz="4" w:space="0" w:color="auto"/>
            </w:tcBorders>
            <w:noWrap/>
            <w:vAlign w:val="center"/>
            <w:hideMark/>
          </w:tcPr>
          <w:p w14:paraId="3C7211BC" w14:textId="77777777" w:rsidR="00BF7E1C" w:rsidRPr="00BF7E1C" w:rsidRDefault="00BF7E1C" w:rsidP="00BF7E1C">
            <w:pPr>
              <w:spacing w:after="0" w:line="240" w:lineRule="auto"/>
              <w:jc w:val="right"/>
              <w:rPr>
                <w:rFonts w:ascii="Times New Roman" w:eastAsia="Times New Roman" w:hAnsi="Times New Roman" w:cs="Times New Roman"/>
                <w:color w:val="auto"/>
                <w:sz w:val="20"/>
                <w:szCs w:val="20"/>
              </w:rPr>
            </w:pPr>
            <w:r w:rsidRPr="00BF7E1C">
              <w:rPr>
                <w:rFonts w:ascii="Times New Roman" w:eastAsia="Times New Roman" w:hAnsi="Times New Roman" w:cs="Times New Roman"/>
                <w:color w:val="auto"/>
                <w:sz w:val="20"/>
                <w:szCs w:val="20"/>
              </w:rPr>
              <w:t>0</w:t>
            </w:r>
          </w:p>
        </w:tc>
        <w:tc>
          <w:tcPr>
            <w:tcW w:w="1347" w:type="dxa"/>
            <w:tcBorders>
              <w:top w:val="nil"/>
              <w:left w:val="nil"/>
              <w:bottom w:val="single" w:sz="4" w:space="0" w:color="auto"/>
              <w:right w:val="single" w:sz="4" w:space="0" w:color="auto"/>
            </w:tcBorders>
            <w:noWrap/>
            <w:vAlign w:val="center"/>
            <w:hideMark/>
          </w:tcPr>
          <w:p w14:paraId="7F1F269F" w14:textId="77777777" w:rsidR="00BF7E1C" w:rsidRPr="00BF7E1C" w:rsidRDefault="00BF7E1C" w:rsidP="00BF7E1C">
            <w:pPr>
              <w:spacing w:after="0" w:line="240" w:lineRule="auto"/>
              <w:jc w:val="right"/>
              <w:rPr>
                <w:rFonts w:ascii="Times New Roman" w:eastAsia="Times New Roman" w:hAnsi="Times New Roman" w:cs="Times New Roman"/>
                <w:color w:val="auto"/>
                <w:sz w:val="20"/>
                <w:szCs w:val="20"/>
              </w:rPr>
            </w:pPr>
            <w:r w:rsidRPr="00BF7E1C">
              <w:rPr>
                <w:rFonts w:ascii="Times New Roman" w:eastAsia="Times New Roman" w:hAnsi="Times New Roman" w:cs="Times New Roman"/>
                <w:color w:val="auto"/>
                <w:sz w:val="20"/>
                <w:szCs w:val="20"/>
              </w:rPr>
              <w:t>0</w:t>
            </w:r>
          </w:p>
        </w:tc>
        <w:tc>
          <w:tcPr>
            <w:tcW w:w="1352" w:type="dxa"/>
            <w:tcBorders>
              <w:top w:val="nil"/>
              <w:left w:val="nil"/>
              <w:bottom w:val="single" w:sz="4" w:space="0" w:color="auto"/>
              <w:right w:val="single" w:sz="4" w:space="0" w:color="auto"/>
            </w:tcBorders>
            <w:noWrap/>
            <w:vAlign w:val="center"/>
            <w:hideMark/>
          </w:tcPr>
          <w:p w14:paraId="69198CFB" w14:textId="77777777" w:rsidR="00BF7E1C" w:rsidRPr="00BF7E1C" w:rsidRDefault="00BF7E1C" w:rsidP="00BF7E1C">
            <w:pPr>
              <w:spacing w:after="0" w:line="240" w:lineRule="auto"/>
              <w:jc w:val="right"/>
              <w:rPr>
                <w:rFonts w:ascii="Times New Roman" w:eastAsia="Times New Roman" w:hAnsi="Times New Roman" w:cs="Times New Roman"/>
                <w:color w:val="auto"/>
                <w:sz w:val="20"/>
                <w:szCs w:val="20"/>
              </w:rPr>
            </w:pPr>
            <w:r w:rsidRPr="00BF7E1C">
              <w:rPr>
                <w:rFonts w:ascii="Times New Roman" w:eastAsia="Times New Roman" w:hAnsi="Times New Roman" w:cs="Times New Roman"/>
                <w:color w:val="auto"/>
                <w:sz w:val="20"/>
                <w:szCs w:val="20"/>
              </w:rPr>
              <w:t>9 859 418</w:t>
            </w:r>
          </w:p>
        </w:tc>
        <w:tc>
          <w:tcPr>
            <w:tcW w:w="1352" w:type="dxa"/>
            <w:tcBorders>
              <w:top w:val="nil"/>
              <w:left w:val="nil"/>
              <w:bottom w:val="single" w:sz="4" w:space="0" w:color="auto"/>
              <w:right w:val="single" w:sz="4" w:space="0" w:color="auto"/>
            </w:tcBorders>
            <w:noWrap/>
            <w:vAlign w:val="center"/>
            <w:hideMark/>
          </w:tcPr>
          <w:p w14:paraId="144276B1" w14:textId="77777777" w:rsidR="00BF7E1C" w:rsidRPr="00BF7E1C" w:rsidRDefault="00BF7E1C" w:rsidP="00BF7E1C">
            <w:pPr>
              <w:spacing w:after="0" w:line="240" w:lineRule="auto"/>
              <w:jc w:val="right"/>
              <w:rPr>
                <w:rFonts w:ascii="Times New Roman" w:eastAsia="Times New Roman" w:hAnsi="Times New Roman" w:cs="Times New Roman"/>
                <w:color w:val="auto"/>
                <w:sz w:val="20"/>
                <w:szCs w:val="20"/>
              </w:rPr>
            </w:pPr>
            <w:r w:rsidRPr="00BF7E1C">
              <w:rPr>
                <w:rFonts w:ascii="Times New Roman" w:eastAsia="Times New Roman" w:hAnsi="Times New Roman" w:cs="Times New Roman"/>
                <w:color w:val="auto"/>
                <w:sz w:val="20"/>
                <w:szCs w:val="20"/>
              </w:rPr>
              <w:t>5 041 040</w:t>
            </w:r>
          </w:p>
        </w:tc>
      </w:tr>
    </w:tbl>
    <w:p w14:paraId="4F9A0E8A" w14:textId="77777777" w:rsidR="00BF7E1C" w:rsidRPr="00BF7E1C" w:rsidRDefault="00BF7E1C" w:rsidP="00BF7E1C">
      <w:pPr>
        <w:spacing w:after="0" w:line="240" w:lineRule="auto"/>
        <w:ind w:firstLine="708"/>
        <w:jc w:val="both"/>
        <w:rPr>
          <w:rFonts w:ascii="Times New Roman" w:eastAsia="Times New Roman" w:hAnsi="Times New Roman" w:cs="Times New Roman"/>
          <w:color w:val="auto"/>
          <w:sz w:val="24"/>
          <w:szCs w:val="24"/>
          <w:lang w:eastAsia="en-US"/>
        </w:rPr>
      </w:pPr>
    </w:p>
    <w:p w14:paraId="642CAB3B" w14:textId="77777777" w:rsidR="00BF7E1C" w:rsidRPr="00BF7E1C" w:rsidRDefault="00BF7E1C" w:rsidP="00BF7E1C">
      <w:pPr>
        <w:spacing w:after="0" w:line="240" w:lineRule="auto"/>
        <w:ind w:firstLine="708"/>
        <w:jc w:val="both"/>
        <w:rPr>
          <w:rFonts w:ascii="Times New Roman" w:eastAsia="Times New Roman" w:hAnsi="Times New Roman" w:cs="Times New Roman"/>
          <w:color w:val="auto"/>
          <w:sz w:val="24"/>
          <w:szCs w:val="24"/>
          <w:lang w:eastAsia="en-US"/>
        </w:rPr>
      </w:pPr>
      <w:r w:rsidRPr="00BF7E1C">
        <w:rPr>
          <w:rFonts w:ascii="Times New Roman" w:eastAsia="Times New Roman" w:hAnsi="Times New Roman" w:cs="Times New Roman"/>
          <w:color w:val="auto"/>
          <w:sz w:val="24"/>
          <w:szCs w:val="24"/>
          <w:lang w:val="x-none" w:eastAsia="en-US"/>
        </w:rPr>
        <w:t>Поради установеното</w:t>
      </w:r>
      <w:r w:rsidRPr="00BF7E1C">
        <w:rPr>
          <w:rFonts w:ascii="Times New Roman" w:eastAsia="Times New Roman" w:hAnsi="Times New Roman" w:cs="Times New Roman"/>
          <w:color w:val="auto"/>
          <w:sz w:val="24"/>
          <w:szCs w:val="24"/>
          <w:lang w:eastAsia="en-US"/>
        </w:rPr>
        <w:t xml:space="preserve"> неусвояване на годишния бюджет за 2025 г. на основна група Р </w:t>
      </w:r>
      <w:r w:rsidRPr="00BF7E1C">
        <w:rPr>
          <w:rFonts w:ascii="Times New Roman" w:eastAsia="Times New Roman" w:hAnsi="Times New Roman" w:cs="Times New Roman"/>
          <w:color w:val="auto"/>
          <w:sz w:val="24"/>
          <w:szCs w:val="24"/>
          <w:lang w:val="x-none" w:eastAsia="en-US"/>
        </w:rPr>
        <w:t>“Антинеопластични лекарствени продукти, принадлежащи към INN, включен в списъка по приложение № 1 към ЗБНЗОК за 2025 г., прилагани при базова химиотерапия за лечение на злокачествени заболявания, включени в пакета здравни дейности, гарантиран от бюджета на НЗОК, и прилагани в условията на болнична медицинска помощ, които НЗОК заплаща извън стойността на оказваните медицински услуги”</w:t>
      </w:r>
      <w:r w:rsidRPr="00BF7E1C">
        <w:rPr>
          <w:rFonts w:ascii="Times New Roman" w:eastAsia="Times New Roman" w:hAnsi="Times New Roman" w:cs="Times New Roman"/>
          <w:color w:val="auto"/>
          <w:sz w:val="24"/>
          <w:szCs w:val="24"/>
          <w:lang w:eastAsia="en-US"/>
        </w:rPr>
        <w:t>, на основание и при условията на чл.8 от Механизма за 2025 г. се извърши годишно компенсиране, както следва:</w:t>
      </w:r>
    </w:p>
    <w:p w14:paraId="20B1F43E" w14:textId="77777777" w:rsidR="00BF7E1C" w:rsidRPr="00BF7E1C" w:rsidRDefault="00BF7E1C" w:rsidP="00BF7E1C">
      <w:pPr>
        <w:spacing w:after="0" w:line="240" w:lineRule="auto"/>
        <w:ind w:firstLine="708"/>
        <w:jc w:val="both"/>
        <w:rPr>
          <w:rFonts w:ascii="Times New Roman" w:eastAsia="Times New Roman" w:hAnsi="Times New Roman" w:cs="Times New Roman"/>
          <w:color w:val="auto"/>
          <w:sz w:val="24"/>
          <w:szCs w:val="24"/>
          <w:lang w:eastAsia="en-US"/>
        </w:rPr>
      </w:pPr>
      <w:r w:rsidRPr="00BF7E1C">
        <w:rPr>
          <w:rFonts w:ascii="Times New Roman" w:eastAsia="Times New Roman" w:hAnsi="Times New Roman" w:cs="Times New Roman"/>
          <w:color w:val="auto"/>
          <w:sz w:val="24"/>
          <w:szCs w:val="24"/>
          <w:lang w:eastAsia="en-US"/>
        </w:rPr>
        <w:t>С пълния размер на неусвоената част от годишния бюджет за 2025 г. за основна група Р в размер на 9 859 418</w:t>
      </w:r>
      <w:r w:rsidRPr="00BF7E1C">
        <w:rPr>
          <w:rFonts w:ascii="Times New Roman" w:eastAsia="Times New Roman" w:hAnsi="Times New Roman" w:cs="Times New Roman"/>
          <w:color w:val="auto"/>
          <w:sz w:val="24"/>
          <w:szCs w:val="24"/>
          <w:lang w:val="en-US" w:eastAsia="en-US"/>
        </w:rPr>
        <w:t xml:space="preserve"> </w:t>
      </w:r>
      <w:r w:rsidRPr="00BF7E1C">
        <w:rPr>
          <w:rFonts w:ascii="Times New Roman" w:eastAsia="Times New Roman" w:hAnsi="Times New Roman" w:cs="Times New Roman"/>
          <w:color w:val="auto"/>
          <w:sz w:val="24"/>
          <w:szCs w:val="24"/>
          <w:lang w:eastAsia="en-US"/>
        </w:rPr>
        <w:t xml:space="preserve"> лв. се компенсира частично </w:t>
      </w:r>
      <w:proofErr w:type="spellStart"/>
      <w:r w:rsidRPr="00BF7E1C">
        <w:rPr>
          <w:rFonts w:ascii="Times New Roman" w:eastAsia="Times New Roman" w:hAnsi="Times New Roman" w:cs="Times New Roman"/>
          <w:color w:val="auto"/>
          <w:sz w:val="24"/>
          <w:szCs w:val="24"/>
          <w:lang w:val="en-AU" w:eastAsia="en-US"/>
        </w:rPr>
        <w:t>превишението</w:t>
      </w:r>
      <w:proofErr w:type="spellEnd"/>
      <w:r w:rsidRPr="00BF7E1C">
        <w:rPr>
          <w:rFonts w:ascii="Times New Roman" w:eastAsia="Times New Roman" w:hAnsi="Times New Roman" w:cs="Times New Roman"/>
          <w:color w:val="auto"/>
          <w:sz w:val="24"/>
          <w:szCs w:val="24"/>
          <w:lang w:val="en-AU" w:eastAsia="en-US"/>
        </w:rPr>
        <w:t xml:space="preserve"> </w:t>
      </w:r>
      <w:proofErr w:type="spellStart"/>
      <w:r w:rsidRPr="00BF7E1C">
        <w:rPr>
          <w:rFonts w:ascii="Times New Roman" w:eastAsia="Times New Roman" w:hAnsi="Times New Roman" w:cs="Times New Roman"/>
          <w:color w:val="auto"/>
          <w:sz w:val="24"/>
          <w:szCs w:val="24"/>
          <w:lang w:val="en-AU" w:eastAsia="en-US"/>
        </w:rPr>
        <w:t>на</w:t>
      </w:r>
      <w:proofErr w:type="spellEnd"/>
      <w:r w:rsidRPr="00BF7E1C">
        <w:rPr>
          <w:rFonts w:ascii="Times New Roman" w:eastAsia="Times New Roman" w:hAnsi="Times New Roman" w:cs="Times New Roman"/>
          <w:color w:val="auto"/>
          <w:sz w:val="24"/>
          <w:szCs w:val="24"/>
          <w:lang w:val="en-AU" w:eastAsia="en-US"/>
        </w:rPr>
        <w:t xml:space="preserve"> </w:t>
      </w:r>
      <w:proofErr w:type="spellStart"/>
      <w:r w:rsidRPr="00BF7E1C">
        <w:rPr>
          <w:rFonts w:ascii="Times New Roman" w:eastAsia="Times New Roman" w:hAnsi="Times New Roman" w:cs="Times New Roman"/>
          <w:color w:val="auto"/>
          <w:sz w:val="24"/>
          <w:szCs w:val="24"/>
          <w:lang w:val="en-AU" w:eastAsia="en-US"/>
        </w:rPr>
        <w:t>годишния</w:t>
      </w:r>
      <w:proofErr w:type="spellEnd"/>
      <w:r w:rsidRPr="00BF7E1C">
        <w:rPr>
          <w:rFonts w:ascii="Times New Roman" w:eastAsia="Times New Roman" w:hAnsi="Times New Roman" w:cs="Times New Roman"/>
          <w:color w:val="auto"/>
          <w:sz w:val="24"/>
          <w:szCs w:val="24"/>
          <w:lang w:val="en-AU" w:eastAsia="en-US"/>
        </w:rPr>
        <w:t xml:space="preserve"> </w:t>
      </w:r>
      <w:r w:rsidRPr="00BF7E1C">
        <w:rPr>
          <w:rFonts w:ascii="Times New Roman" w:eastAsia="Times New Roman" w:hAnsi="Times New Roman" w:cs="Times New Roman"/>
          <w:color w:val="auto"/>
          <w:sz w:val="24"/>
          <w:szCs w:val="24"/>
          <w:lang w:val="x-none" w:eastAsia="en-US"/>
        </w:rPr>
        <w:t>бюджет за 202</w:t>
      </w:r>
      <w:r w:rsidRPr="00BF7E1C">
        <w:rPr>
          <w:rFonts w:ascii="Times New Roman" w:eastAsia="Times New Roman" w:hAnsi="Times New Roman" w:cs="Times New Roman"/>
          <w:color w:val="auto"/>
          <w:sz w:val="24"/>
          <w:szCs w:val="24"/>
          <w:lang w:val="en-AU" w:eastAsia="en-US"/>
        </w:rPr>
        <w:t>5</w:t>
      </w:r>
      <w:r w:rsidRPr="00BF7E1C">
        <w:rPr>
          <w:rFonts w:ascii="Times New Roman" w:eastAsia="Times New Roman" w:hAnsi="Times New Roman" w:cs="Times New Roman"/>
          <w:color w:val="auto"/>
          <w:sz w:val="24"/>
          <w:szCs w:val="24"/>
          <w:lang w:val="x-none" w:eastAsia="en-US"/>
        </w:rPr>
        <w:t xml:space="preserve"> г. за основна група</w:t>
      </w:r>
      <w:r w:rsidRPr="00BF7E1C">
        <w:rPr>
          <w:rFonts w:ascii="Times New Roman" w:eastAsia="Times New Roman" w:hAnsi="Times New Roman" w:cs="Times New Roman"/>
          <w:color w:val="auto"/>
          <w:sz w:val="24"/>
          <w:szCs w:val="24"/>
          <w:lang w:val="en-AU" w:eastAsia="en-US"/>
        </w:rPr>
        <w:t xml:space="preserve"> “M”</w:t>
      </w:r>
      <w:r w:rsidRPr="00BF7E1C">
        <w:rPr>
          <w:rFonts w:ascii="Times New Roman" w:hAnsi="Times New Roman" w:cs="Times New Roman"/>
          <w:color w:val="auto"/>
          <w:sz w:val="24"/>
          <w:szCs w:val="24"/>
          <w:lang w:val="en-US" w:eastAsia="en-US"/>
        </w:rPr>
        <w:t xml:space="preserve"> </w:t>
      </w:r>
      <w:r w:rsidRPr="00BF7E1C">
        <w:rPr>
          <w:rFonts w:ascii="Times New Roman" w:hAnsi="Times New Roman" w:cs="Times New Roman"/>
          <w:color w:val="auto"/>
          <w:sz w:val="24"/>
          <w:szCs w:val="24"/>
          <w:lang w:eastAsia="en-US"/>
        </w:rPr>
        <w:t>„Л</w:t>
      </w:r>
      <w:proofErr w:type="spellStart"/>
      <w:r w:rsidRPr="00BF7E1C">
        <w:rPr>
          <w:rFonts w:ascii="Times New Roman" w:hAnsi="Times New Roman" w:cs="Times New Roman"/>
          <w:color w:val="auto"/>
          <w:sz w:val="24"/>
          <w:szCs w:val="24"/>
          <w:lang w:val="en-US" w:eastAsia="en-US"/>
        </w:rPr>
        <w:t>екарствени</w:t>
      </w:r>
      <w:proofErr w:type="spellEnd"/>
      <w:r w:rsidRPr="00BF7E1C">
        <w:rPr>
          <w:rFonts w:ascii="Times New Roman" w:hAnsi="Times New Roman" w:cs="Times New Roman"/>
          <w:color w:val="auto"/>
          <w:sz w:val="24"/>
          <w:szCs w:val="24"/>
          <w:lang w:val="en-US" w:eastAsia="en-US"/>
        </w:rPr>
        <w:t xml:space="preserve"> </w:t>
      </w:r>
      <w:proofErr w:type="spellStart"/>
      <w:r w:rsidRPr="00BF7E1C">
        <w:rPr>
          <w:rFonts w:ascii="Times New Roman" w:hAnsi="Times New Roman" w:cs="Times New Roman"/>
          <w:color w:val="auto"/>
          <w:sz w:val="24"/>
          <w:szCs w:val="24"/>
          <w:lang w:val="en-US" w:eastAsia="en-US"/>
        </w:rPr>
        <w:t>продукти</w:t>
      </w:r>
      <w:proofErr w:type="spellEnd"/>
      <w:r w:rsidRPr="00BF7E1C">
        <w:rPr>
          <w:rFonts w:ascii="Times New Roman" w:hAnsi="Times New Roman" w:cs="Times New Roman"/>
          <w:color w:val="auto"/>
          <w:sz w:val="24"/>
          <w:szCs w:val="24"/>
          <w:lang w:val="en-US" w:eastAsia="en-US"/>
        </w:rPr>
        <w:t xml:space="preserve"> </w:t>
      </w:r>
      <w:proofErr w:type="spellStart"/>
      <w:r w:rsidRPr="00BF7E1C">
        <w:rPr>
          <w:rFonts w:ascii="Times New Roman" w:hAnsi="Times New Roman" w:cs="Times New Roman"/>
          <w:color w:val="auto"/>
          <w:sz w:val="24"/>
          <w:szCs w:val="24"/>
          <w:lang w:val="en-US" w:eastAsia="en-US"/>
        </w:rPr>
        <w:t>за</w:t>
      </w:r>
      <w:proofErr w:type="spellEnd"/>
      <w:r w:rsidRPr="00BF7E1C">
        <w:rPr>
          <w:rFonts w:ascii="Times New Roman" w:hAnsi="Times New Roman" w:cs="Times New Roman"/>
          <w:color w:val="auto"/>
          <w:sz w:val="24"/>
          <w:szCs w:val="24"/>
          <w:lang w:val="en-US" w:eastAsia="en-US"/>
        </w:rPr>
        <w:t xml:space="preserve"> </w:t>
      </w:r>
      <w:proofErr w:type="spellStart"/>
      <w:r w:rsidRPr="00BF7E1C">
        <w:rPr>
          <w:rFonts w:ascii="Times New Roman" w:hAnsi="Times New Roman" w:cs="Times New Roman"/>
          <w:color w:val="auto"/>
          <w:sz w:val="24"/>
          <w:szCs w:val="24"/>
          <w:lang w:val="en-US" w:eastAsia="en-US"/>
        </w:rPr>
        <w:t>лечение</w:t>
      </w:r>
      <w:proofErr w:type="spellEnd"/>
      <w:r w:rsidRPr="00BF7E1C">
        <w:rPr>
          <w:rFonts w:ascii="Times New Roman" w:hAnsi="Times New Roman" w:cs="Times New Roman"/>
          <w:color w:val="auto"/>
          <w:sz w:val="24"/>
          <w:szCs w:val="24"/>
          <w:lang w:val="en-US" w:eastAsia="en-US"/>
        </w:rPr>
        <w:t xml:space="preserve"> </w:t>
      </w:r>
      <w:proofErr w:type="spellStart"/>
      <w:r w:rsidRPr="00BF7E1C">
        <w:rPr>
          <w:rFonts w:ascii="Times New Roman" w:hAnsi="Times New Roman" w:cs="Times New Roman"/>
          <w:color w:val="auto"/>
          <w:sz w:val="24"/>
          <w:szCs w:val="24"/>
          <w:lang w:val="en-US" w:eastAsia="en-US"/>
        </w:rPr>
        <w:t>на</w:t>
      </w:r>
      <w:proofErr w:type="spellEnd"/>
      <w:r w:rsidRPr="00BF7E1C">
        <w:rPr>
          <w:rFonts w:ascii="Times New Roman" w:hAnsi="Times New Roman" w:cs="Times New Roman"/>
          <w:color w:val="auto"/>
          <w:sz w:val="24"/>
          <w:szCs w:val="24"/>
          <w:lang w:val="en-US" w:eastAsia="en-US"/>
        </w:rPr>
        <w:t xml:space="preserve"> </w:t>
      </w:r>
      <w:proofErr w:type="spellStart"/>
      <w:r w:rsidRPr="00BF7E1C">
        <w:rPr>
          <w:rFonts w:ascii="Times New Roman" w:hAnsi="Times New Roman" w:cs="Times New Roman"/>
          <w:color w:val="auto"/>
          <w:sz w:val="24"/>
          <w:szCs w:val="24"/>
          <w:lang w:val="en-US" w:eastAsia="en-US"/>
        </w:rPr>
        <w:t>злокачествени</w:t>
      </w:r>
      <w:proofErr w:type="spellEnd"/>
      <w:r w:rsidRPr="00BF7E1C">
        <w:rPr>
          <w:rFonts w:ascii="Times New Roman" w:hAnsi="Times New Roman" w:cs="Times New Roman"/>
          <w:color w:val="auto"/>
          <w:sz w:val="24"/>
          <w:szCs w:val="24"/>
          <w:lang w:val="en-US" w:eastAsia="en-US"/>
        </w:rPr>
        <w:t xml:space="preserve"> </w:t>
      </w:r>
      <w:proofErr w:type="spellStart"/>
      <w:r w:rsidRPr="00BF7E1C">
        <w:rPr>
          <w:rFonts w:ascii="Times New Roman" w:hAnsi="Times New Roman" w:cs="Times New Roman"/>
          <w:color w:val="auto"/>
          <w:sz w:val="24"/>
          <w:szCs w:val="24"/>
          <w:lang w:val="en-US" w:eastAsia="en-US"/>
        </w:rPr>
        <w:t>заболявания</w:t>
      </w:r>
      <w:proofErr w:type="spellEnd"/>
      <w:r w:rsidRPr="00BF7E1C">
        <w:rPr>
          <w:rFonts w:ascii="Times New Roman" w:hAnsi="Times New Roman" w:cs="Times New Roman"/>
          <w:color w:val="auto"/>
          <w:sz w:val="24"/>
          <w:szCs w:val="24"/>
          <w:lang w:val="en-US" w:eastAsia="en-US"/>
        </w:rPr>
        <w:t xml:space="preserve">, </w:t>
      </w:r>
      <w:proofErr w:type="spellStart"/>
      <w:r w:rsidRPr="00BF7E1C">
        <w:rPr>
          <w:rFonts w:ascii="Times New Roman" w:hAnsi="Times New Roman" w:cs="Times New Roman"/>
          <w:color w:val="auto"/>
          <w:sz w:val="24"/>
          <w:szCs w:val="24"/>
          <w:lang w:val="en-US" w:eastAsia="en-US"/>
        </w:rPr>
        <w:t>включени</w:t>
      </w:r>
      <w:proofErr w:type="spellEnd"/>
      <w:r w:rsidRPr="00BF7E1C">
        <w:rPr>
          <w:rFonts w:ascii="Times New Roman" w:hAnsi="Times New Roman" w:cs="Times New Roman"/>
          <w:color w:val="auto"/>
          <w:sz w:val="24"/>
          <w:szCs w:val="24"/>
          <w:lang w:val="en-US" w:eastAsia="en-US"/>
        </w:rPr>
        <w:t xml:space="preserve"> в </w:t>
      </w:r>
      <w:proofErr w:type="spellStart"/>
      <w:r w:rsidRPr="00BF7E1C">
        <w:rPr>
          <w:rFonts w:ascii="Times New Roman" w:hAnsi="Times New Roman" w:cs="Times New Roman"/>
          <w:color w:val="auto"/>
          <w:sz w:val="24"/>
          <w:szCs w:val="24"/>
          <w:lang w:val="en-US" w:eastAsia="en-US"/>
        </w:rPr>
        <w:t>пакета</w:t>
      </w:r>
      <w:proofErr w:type="spellEnd"/>
      <w:r w:rsidRPr="00BF7E1C">
        <w:rPr>
          <w:rFonts w:ascii="Times New Roman" w:hAnsi="Times New Roman" w:cs="Times New Roman"/>
          <w:color w:val="auto"/>
          <w:sz w:val="24"/>
          <w:szCs w:val="24"/>
          <w:lang w:val="en-US" w:eastAsia="en-US"/>
        </w:rPr>
        <w:t xml:space="preserve"> </w:t>
      </w:r>
      <w:proofErr w:type="spellStart"/>
      <w:r w:rsidRPr="00BF7E1C">
        <w:rPr>
          <w:rFonts w:ascii="Times New Roman" w:hAnsi="Times New Roman" w:cs="Times New Roman"/>
          <w:color w:val="auto"/>
          <w:sz w:val="24"/>
          <w:szCs w:val="24"/>
          <w:lang w:val="en-US" w:eastAsia="en-US"/>
        </w:rPr>
        <w:t>здравни</w:t>
      </w:r>
      <w:proofErr w:type="spellEnd"/>
      <w:r w:rsidRPr="00BF7E1C">
        <w:rPr>
          <w:rFonts w:ascii="Times New Roman" w:hAnsi="Times New Roman" w:cs="Times New Roman"/>
          <w:color w:val="auto"/>
          <w:sz w:val="24"/>
          <w:szCs w:val="24"/>
          <w:lang w:val="en-US" w:eastAsia="en-US"/>
        </w:rPr>
        <w:t xml:space="preserve"> </w:t>
      </w:r>
      <w:proofErr w:type="spellStart"/>
      <w:r w:rsidRPr="00BF7E1C">
        <w:rPr>
          <w:rFonts w:ascii="Times New Roman" w:hAnsi="Times New Roman" w:cs="Times New Roman"/>
          <w:color w:val="auto"/>
          <w:sz w:val="24"/>
          <w:szCs w:val="24"/>
          <w:lang w:val="en-US" w:eastAsia="en-US"/>
        </w:rPr>
        <w:t>дейности</w:t>
      </w:r>
      <w:proofErr w:type="spellEnd"/>
      <w:r w:rsidRPr="00BF7E1C">
        <w:rPr>
          <w:rFonts w:ascii="Times New Roman" w:hAnsi="Times New Roman" w:cs="Times New Roman"/>
          <w:color w:val="auto"/>
          <w:sz w:val="24"/>
          <w:szCs w:val="24"/>
          <w:lang w:val="en-US" w:eastAsia="en-US"/>
        </w:rPr>
        <w:t xml:space="preserve">, </w:t>
      </w:r>
      <w:proofErr w:type="spellStart"/>
      <w:r w:rsidRPr="00BF7E1C">
        <w:rPr>
          <w:rFonts w:ascii="Times New Roman" w:hAnsi="Times New Roman" w:cs="Times New Roman"/>
          <w:color w:val="auto"/>
          <w:sz w:val="24"/>
          <w:szCs w:val="24"/>
          <w:lang w:val="en-US" w:eastAsia="en-US"/>
        </w:rPr>
        <w:t>гарантиран</w:t>
      </w:r>
      <w:proofErr w:type="spellEnd"/>
      <w:r w:rsidRPr="00BF7E1C">
        <w:rPr>
          <w:rFonts w:ascii="Times New Roman" w:hAnsi="Times New Roman" w:cs="Times New Roman"/>
          <w:color w:val="auto"/>
          <w:sz w:val="24"/>
          <w:szCs w:val="24"/>
          <w:lang w:val="en-US" w:eastAsia="en-US"/>
        </w:rPr>
        <w:t xml:space="preserve"> </w:t>
      </w:r>
      <w:proofErr w:type="spellStart"/>
      <w:r w:rsidRPr="00BF7E1C">
        <w:rPr>
          <w:rFonts w:ascii="Times New Roman" w:hAnsi="Times New Roman" w:cs="Times New Roman"/>
          <w:color w:val="auto"/>
          <w:sz w:val="24"/>
          <w:szCs w:val="24"/>
          <w:lang w:val="en-US" w:eastAsia="en-US"/>
        </w:rPr>
        <w:t>от</w:t>
      </w:r>
      <w:proofErr w:type="spellEnd"/>
      <w:r w:rsidRPr="00BF7E1C">
        <w:rPr>
          <w:rFonts w:ascii="Times New Roman" w:hAnsi="Times New Roman" w:cs="Times New Roman"/>
          <w:color w:val="auto"/>
          <w:sz w:val="24"/>
          <w:szCs w:val="24"/>
          <w:lang w:val="en-US" w:eastAsia="en-US"/>
        </w:rPr>
        <w:t xml:space="preserve"> </w:t>
      </w:r>
      <w:proofErr w:type="spellStart"/>
      <w:r w:rsidRPr="00BF7E1C">
        <w:rPr>
          <w:rFonts w:ascii="Times New Roman" w:hAnsi="Times New Roman" w:cs="Times New Roman"/>
          <w:color w:val="auto"/>
          <w:sz w:val="24"/>
          <w:szCs w:val="24"/>
          <w:lang w:val="en-US" w:eastAsia="en-US"/>
        </w:rPr>
        <w:t>бюджета</w:t>
      </w:r>
      <w:proofErr w:type="spellEnd"/>
      <w:r w:rsidRPr="00BF7E1C">
        <w:rPr>
          <w:rFonts w:ascii="Times New Roman" w:hAnsi="Times New Roman" w:cs="Times New Roman"/>
          <w:color w:val="auto"/>
          <w:sz w:val="24"/>
          <w:szCs w:val="24"/>
          <w:lang w:val="en-US" w:eastAsia="en-US"/>
        </w:rPr>
        <w:t xml:space="preserve"> </w:t>
      </w:r>
      <w:proofErr w:type="spellStart"/>
      <w:r w:rsidRPr="00BF7E1C">
        <w:rPr>
          <w:rFonts w:ascii="Times New Roman" w:hAnsi="Times New Roman" w:cs="Times New Roman"/>
          <w:color w:val="auto"/>
          <w:sz w:val="24"/>
          <w:szCs w:val="24"/>
          <w:lang w:val="en-US" w:eastAsia="en-US"/>
        </w:rPr>
        <w:t>на</w:t>
      </w:r>
      <w:proofErr w:type="spellEnd"/>
      <w:r w:rsidRPr="00BF7E1C">
        <w:rPr>
          <w:rFonts w:ascii="Times New Roman" w:hAnsi="Times New Roman" w:cs="Times New Roman"/>
          <w:color w:val="auto"/>
          <w:sz w:val="24"/>
          <w:szCs w:val="24"/>
          <w:lang w:val="en-US" w:eastAsia="en-US"/>
        </w:rPr>
        <w:t xml:space="preserve"> НЗОК, и </w:t>
      </w:r>
      <w:proofErr w:type="spellStart"/>
      <w:r w:rsidRPr="00BF7E1C">
        <w:rPr>
          <w:rFonts w:ascii="Times New Roman" w:hAnsi="Times New Roman" w:cs="Times New Roman"/>
          <w:color w:val="auto"/>
          <w:sz w:val="24"/>
          <w:szCs w:val="24"/>
          <w:lang w:val="en-US" w:eastAsia="en-US"/>
        </w:rPr>
        <w:t>прилагани</w:t>
      </w:r>
      <w:proofErr w:type="spellEnd"/>
      <w:r w:rsidRPr="00BF7E1C">
        <w:rPr>
          <w:rFonts w:ascii="Times New Roman" w:hAnsi="Times New Roman" w:cs="Times New Roman"/>
          <w:color w:val="auto"/>
          <w:sz w:val="24"/>
          <w:szCs w:val="24"/>
          <w:lang w:val="en-US" w:eastAsia="en-US"/>
        </w:rPr>
        <w:t xml:space="preserve"> в </w:t>
      </w:r>
      <w:proofErr w:type="spellStart"/>
      <w:r w:rsidRPr="00BF7E1C">
        <w:rPr>
          <w:rFonts w:ascii="Times New Roman" w:hAnsi="Times New Roman" w:cs="Times New Roman"/>
          <w:color w:val="auto"/>
          <w:sz w:val="24"/>
          <w:szCs w:val="24"/>
          <w:lang w:val="en-US" w:eastAsia="en-US"/>
        </w:rPr>
        <w:t>условията</w:t>
      </w:r>
      <w:proofErr w:type="spellEnd"/>
      <w:r w:rsidRPr="00BF7E1C">
        <w:rPr>
          <w:rFonts w:ascii="Times New Roman" w:hAnsi="Times New Roman" w:cs="Times New Roman"/>
          <w:color w:val="auto"/>
          <w:sz w:val="24"/>
          <w:szCs w:val="24"/>
          <w:lang w:val="en-US" w:eastAsia="en-US"/>
        </w:rPr>
        <w:t xml:space="preserve"> </w:t>
      </w:r>
      <w:proofErr w:type="spellStart"/>
      <w:r w:rsidRPr="00BF7E1C">
        <w:rPr>
          <w:rFonts w:ascii="Times New Roman" w:hAnsi="Times New Roman" w:cs="Times New Roman"/>
          <w:color w:val="auto"/>
          <w:sz w:val="24"/>
          <w:szCs w:val="24"/>
          <w:lang w:val="en-US" w:eastAsia="en-US"/>
        </w:rPr>
        <w:t>на</w:t>
      </w:r>
      <w:proofErr w:type="spellEnd"/>
      <w:r w:rsidRPr="00BF7E1C">
        <w:rPr>
          <w:rFonts w:ascii="Times New Roman" w:hAnsi="Times New Roman" w:cs="Times New Roman"/>
          <w:color w:val="auto"/>
          <w:sz w:val="24"/>
          <w:szCs w:val="24"/>
          <w:lang w:val="en-US" w:eastAsia="en-US"/>
        </w:rPr>
        <w:t xml:space="preserve"> </w:t>
      </w:r>
      <w:proofErr w:type="spellStart"/>
      <w:r w:rsidRPr="00BF7E1C">
        <w:rPr>
          <w:rFonts w:ascii="Times New Roman" w:hAnsi="Times New Roman" w:cs="Times New Roman"/>
          <w:color w:val="auto"/>
          <w:sz w:val="24"/>
          <w:szCs w:val="24"/>
          <w:lang w:val="en-US" w:eastAsia="en-US"/>
        </w:rPr>
        <w:t>болничната</w:t>
      </w:r>
      <w:proofErr w:type="spellEnd"/>
      <w:r w:rsidRPr="00BF7E1C">
        <w:rPr>
          <w:rFonts w:ascii="Times New Roman" w:hAnsi="Times New Roman" w:cs="Times New Roman"/>
          <w:color w:val="auto"/>
          <w:sz w:val="24"/>
          <w:szCs w:val="24"/>
          <w:lang w:val="en-US" w:eastAsia="en-US"/>
        </w:rPr>
        <w:t xml:space="preserve"> </w:t>
      </w:r>
      <w:proofErr w:type="spellStart"/>
      <w:r w:rsidRPr="00BF7E1C">
        <w:rPr>
          <w:rFonts w:ascii="Times New Roman" w:hAnsi="Times New Roman" w:cs="Times New Roman"/>
          <w:color w:val="auto"/>
          <w:sz w:val="24"/>
          <w:szCs w:val="24"/>
          <w:lang w:val="en-US" w:eastAsia="en-US"/>
        </w:rPr>
        <w:t>медицинска</w:t>
      </w:r>
      <w:proofErr w:type="spellEnd"/>
      <w:r w:rsidRPr="00BF7E1C">
        <w:rPr>
          <w:rFonts w:ascii="Times New Roman" w:hAnsi="Times New Roman" w:cs="Times New Roman"/>
          <w:color w:val="auto"/>
          <w:sz w:val="24"/>
          <w:szCs w:val="24"/>
          <w:lang w:val="en-US" w:eastAsia="en-US"/>
        </w:rPr>
        <w:t xml:space="preserve"> </w:t>
      </w:r>
      <w:proofErr w:type="spellStart"/>
      <w:r w:rsidRPr="00BF7E1C">
        <w:rPr>
          <w:rFonts w:ascii="Times New Roman" w:hAnsi="Times New Roman" w:cs="Times New Roman"/>
          <w:color w:val="auto"/>
          <w:sz w:val="24"/>
          <w:szCs w:val="24"/>
          <w:lang w:val="en-US" w:eastAsia="en-US"/>
        </w:rPr>
        <w:t>помощ</w:t>
      </w:r>
      <w:proofErr w:type="spellEnd"/>
      <w:r w:rsidRPr="00BF7E1C">
        <w:rPr>
          <w:rFonts w:ascii="Times New Roman" w:hAnsi="Times New Roman" w:cs="Times New Roman"/>
          <w:color w:val="auto"/>
          <w:sz w:val="24"/>
          <w:szCs w:val="24"/>
          <w:lang w:val="en-US" w:eastAsia="en-US"/>
        </w:rPr>
        <w:t xml:space="preserve">, </w:t>
      </w:r>
      <w:proofErr w:type="spellStart"/>
      <w:r w:rsidRPr="00BF7E1C">
        <w:rPr>
          <w:rFonts w:ascii="Times New Roman" w:hAnsi="Times New Roman" w:cs="Times New Roman"/>
          <w:color w:val="auto"/>
          <w:sz w:val="24"/>
          <w:szCs w:val="24"/>
          <w:lang w:val="en-US" w:eastAsia="en-US"/>
        </w:rPr>
        <w:t>които</w:t>
      </w:r>
      <w:proofErr w:type="spellEnd"/>
      <w:r w:rsidRPr="00BF7E1C">
        <w:rPr>
          <w:rFonts w:ascii="Times New Roman" w:hAnsi="Times New Roman" w:cs="Times New Roman"/>
          <w:color w:val="auto"/>
          <w:sz w:val="24"/>
          <w:szCs w:val="24"/>
          <w:lang w:val="en-US" w:eastAsia="en-US"/>
        </w:rPr>
        <w:t xml:space="preserve"> НЗОК </w:t>
      </w:r>
      <w:proofErr w:type="spellStart"/>
      <w:r w:rsidRPr="00BF7E1C">
        <w:rPr>
          <w:rFonts w:ascii="Times New Roman" w:hAnsi="Times New Roman" w:cs="Times New Roman"/>
          <w:color w:val="auto"/>
          <w:sz w:val="24"/>
          <w:szCs w:val="24"/>
          <w:lang w:val="en-US" w:eastAsia="en-US"/>
        </w:rPr>
        <w:t>заплаща</w:t>
      </w:r>
      <w:proofErr w:type="spellEnd"/>
      <w:r w:rsidRPr="00BF7E1C">
        <w:rPr>
          <w:rFonts w:ascii="Times New Roman" w:hAnsi="Times New Roman" w:cs="Times New Roman"/>
          <w:color w:val="auto"/>
          <w:sz w:val="24"/>
          <w:szCs w:val="24"/>
          <w:lang w:val="en-US" w:eastAsia="en-US"/>
        </w:rPr>
        <w:t xml:space="preserve"> </w:t>
      </w:r>
      <w:proofErr w:type="spellStart"/>
      <w:r w:rsidRPr="00BF7E1C">
        <w:rPr>
          <w:rFonts w:ascii="Times New Roman" w:hAnsi="Times New Roman" w:cs="Times New Roman"/>
          <w:color w:val="auto"/>
          <w:sz w:val="24"/>
          <w:szCs w:val="24"/>
          <w:lang w:val="en-US" w:eastAsia="en-US"/>
        </w:rPr>
        <w:t>извън</w:t>
      </w:r>
      <w:proofErr w:type="spellEnd"/>
      <w:r w:rsidRPr="00BF7E1C">
        <w:rPr>
          <w:rFonts w:ascii="Times New Roman" w:hAnsi="Times New Roman" w:cs="Times New Roman"/>
          <w:color w:val="auto"/>
          <w:sz w:val="24"/>
          <w:szCs w:val="24"/>
          <w:lang w:val="en-US" w:eastAsia="en-US"/>
        </w:rPr>
        <w:t xml:space="preserve"> </w:t>
      </w:r>
      <w:proofErr w:type="spellStart"/>
      <w:r w:rsidRPr="00BF7E1C">
        <w:rPr>
          <w:rFonts w:ascii="Times New Roman" w:hAnsi="Times New Roman" w:cs="Times New Roman"/>
          <w:color w:val="auto"/>
          <w:sz w:val="24"/>
          <w:szCs w:val="24"/>
          <w:lang w:val="en-US" w:eastAsia="en-US"/>
        </w:rPr>
        <w:t>стойността</w:t>
      </w:r>
      <w:proofErr w:type="spellEnd"/>
      <w:r w:rsidRPr="00BF7E1C">
        <w:rPr>
          <w:rFonts w:ascii="Times New Roman" w:hAnsi="Times New Roman" w:cs="Times New Roman"/>
          <w:color w:val="auto"/>
          <w:sz w:val="24"/>
          <w:szCs w:val="24"/>
          <w:lang w:val="en-US" w:eastAsia="en-US"/>
        </w:rPr>
        <w:t xml:space="preserve"> </w:t>
      </w:r>
      <w:proofErr w:type="spellStart"/>
      <w:r w:rsidRPr="00BF7E1C">
        <w:rPr>
          <w:rFonts w:ascii="Times New Roman" w:hAnsi="Times New Roman" w:cs="Times New Roman"/>
          <w:color w:val="auto"/>
          <w:sz w:val="24"/>
          <w:szCs w:val="24"/>
          <w:lang w:val="en-US" w:eastAsia="en-US"/>
        </w:rPr>
        <w:t>на</w:t>
      </w:r>
      <w:proofErr w:type="spellEnd"/>
      <w:r w:rsidRPr="00BF7E1C">
        <w:rPr>
          <w:rFonts w:ascii="Times New Roman" w:hAnsi="Times New Roman" w:cs="Times New Roman"/>
          <w:color w:val="auto"/>
          <w:sz w:val="24"/>
          <w:szCs w:val="24"/>
          <w:lang w:val="en-US" w:eastAsia="en-US"/>
        </w:rPr>
        <w:t xml:space="preserve"> </w:t>
      </w:r>
      <w:proofErr w:type="spellStart"/>
      <w:r w:rsidRPr="00BF7E1C">
        <w:rPr>
          <w:rFonts w:ascii="Times New Roman" w:hAnsi="Times New Roman" w:cs="Times New Roman"/>
          <w:color w:val="auto"/>
          <w:sz w:val="24"/>
          <w:szCs w:val="24"/>
          <w:lang w:val="en-US" w:eastAsia="en-US"/>
        </w:rPr>
        <w:t>оказваните</w:t>
      </w:r>
      <w:proofErr w:type="spellEnd"/>
      <w:r w:rsidRPr="00BF7E1C">
        <w:rPr>
          <w:rFonts w:ascii="Times New Roman" w:hAnsi="Times New Roman" w:cs="Times New Roman"/>
          <w:color w:val="auto"/>
          <w:sz w:val="24"/>
          <w:szCs w:val="24"/>
          <w:lang w:val="en-US" w:eastAsia="en-US"/>
        </w:rPr>
        <w:t xml:space="preserve"> </w:t>
      </w:r>
      <w:proofErr w:type="spellStart"/>
      <w:r w:rsidRPr="00BF7E1C">
        <w:rPr>
          <w:rFonts w:ascii="Times New Roman" w:hAnsi="Times New Roman" w:cs="Times New Roman"/>
          <w:color w:val="auto"/>
          <w:sz w:val="24"/>
          <w:szCs w:val="24"/>
          <w:lang w:val="en-US" w:eastAsia="en-US"/>
        </w:rPr>
        <w:t>медицински</w:t>
      </w:r>
      <w:proofErr w:type="spellEnd"/>
      <w:r w:rsidRPr="00BF7E1C">
        <w:rPr>
          <w:rFonts w:ascii="Times New Roman" w:hAnsi="Times New Roman" w:cs="Times New Roman"/>
          <w:color w:val="auto"/>
          <w:sz w:val="24"/>
          <w:szCs w:val="24"/>
          <w:lang w:val="en-US" w:eastAsia="en-US"/>
        </w:rPr>
        <w:t xml:space="preserve"> </w:t>
      </w:r>
      <w:proofErr w:type="spellStart"/>
      <w:r w:rsidRPr="00BF7E1C">
        <w:rPr>
          <w:rFonts w:ascii="Times New Roman" w:hAnsi="Times New Roman" w:cs="Times New Roman"/>
          <w:color w:val="auto"/>
          <w:sz w:val="24"/>
          <w:szCs w:val="24"/>
          <w:lang w:val="en-US" w:eastAsia="en-US"/>
        </w:rPr>
        <w:t>услуги</w:t>
      </w:r>
      <w:proofErr w:type="spellEnd"/>
      <w:r w:rsidRPr="00BF7E1C">
        <w:rPr>
          <w:rFonts w:ascii="Times New Roman" w:hAnsi="Times New Roman" w:cs="Times New Roman"/>
          <w:color w:val="auto"/>
          <w:sz w:val="24"/>
          <w:szCs w:val="24"/>
          <w:lang w:eastAsia="en-US"/>
        </w:rPr>
        <w:t xml:space="preserve">“. По този начин годишното превишение на годишния бюджет за 2025 г. на основна група М в размер на </w:t>
      </w:r>
      <w:r w:rsidRPr="00BF7E1C">
        <w:rPr>
          <w:rFonts w:ascii="Times New Roman" w:eastAsia="Times New Roman" w:hAnsi="Times New Roman" w:cs="Times New Roman"/>
          <w:sz w:val="24"/>
          <w:szCs w:val="24"/>
        </w:rPr>
        <w:t xml:space="preserve">327 616 822 лв. се намалява с </w:t>
      </w:r>
      <w:r w:rsidRPr="00BF7E1C">
        <w:rPr>
          <w:rFonts w:ascii="Times New Roman" w:eastAsia="Times New Roman" w:hAnsi="Times New Roman" w:cs="Times New Roman"/>
          <w:color w:val="auto"/>
          <w:sz w:val="24"/>
          <w:szCs w:val="24"/>
          <w:lang w:eastAsia="en-US"/>
        </w:rPr>
        <w:t>9 859 418 лв.</w:t>
      </w:r>
    </w:p>
    <w:p w14:paraId="65F3A106" w14:textId="77777777" w:rsidR="00BF7E1C" w:rsidRPr="00BF7E1C" w:rsidRDefault="00BF7E1C" w:rsidP="00BF7E1C">
      <w:pPr>
        <w:spacing w:after="0" w:line="240" w:lineRule="auto"/>
        <w:ind w:firstLine="708"/>
        <w:jc w:val="both"/>
        <w:rPr>
          <w:rFonts w:ascii="Times New Roman" w:hAnsi="Times New Roman" w:cs="Times New Roman"/>
          <w:color w:val="auto"/>
          <w:sz w:val="24"/>
          <w:szCs w:val="24"/>
          <w:shd w:val="clear" w:color="auto" w:fill="FFFFFF"/>
          <w:lang w:val="en-US" w:eastAsia="en-US"/>
        </w:rPr>
      </w:pPr>
    </w:p>
    <w:p w14:paraId="4E754D5A" w14:textId="77777777" w:rsidR="00BF7E1C" w:rsidRPr="00BF7E1C" w:rsidRDefault="00BF7E1C" w:rsidP="00BF7E1C">
      <w:pPr>
        <w:spacing w:after="0" w:line="240" w:lineRule="auto"/>
        <w:ind w:firstLine="708"/>
        <w:jc w:val="both"/>
        <w:rPr>
          <w:rFonts w:ascii="Times New Roman" w:eastAsia="Times New Roman" w:hAnsi="Times New Roman" w:cs="Times New Roman"/>
          <w:color w:val="auto"/>
          <w:sz w:val="24"/>
          <w:szCs w:val="24"/>
          <w:lang w:val="en-US" w:eastAsia="en-US"/>
        </w:rPr>
      </w:pPr>
      <w:r w:rsidRPr="00BF7E1C">
        <w:rPr>
          <w:rFonts w:ascii="Times New Roman" w:hAnsi="Times New Roman" w:cs="Times New Roman"/>
          <w:color w:val="auto"/>
          <w:sz w:val="24"/>
          <w:szCs w:val="24"/>
          <w:shd w:val="clear" w:color="auto" w:fill="FFFFFF"/>
          <w:lang w:val="ru-RU" w:eastAsia="en-US"/>
        </w:rPr>
        <w:t>В резултат на извършеното годишно компенсиране</w:t>
      </w:r>
      <w:r w:rsidRPr="00BF7E1C">
        <w:rPr>
          <w:rFonts w:ascii="Times New Roman" w:hAnsi="Times New Roman" w:cs="Times New Roman"/>
          <w:color w:val="auto"/>
          <w:sz w:val="24"/>
          <w:szCs w:val="24"/>
          <w:shd w:val="clear" w:color="auto" w:fill="FFFFFF"/>
          <w:lang w:val="en-US" w:eastAsia="en-US"/>
        </w:rPr>
        <w:t xml:space="preserve">, </w:t>
      </w:r>
      <w:r w:rsidRPr="00BF7E1C">
        <w:rPr>
          <w:rFonts w:ascii="Times New Roman" w:hAnsi="Times New Roman" w:cs="Times New Roman"/>
          <w:color w:val="auto"/>
          <w:sz w:val="24"/>
          <w:szCs w:val="24"/>
          <w:shd w:val="clear" w:color="auto" w:fill="FFFFFF"/>
          <w:lang w:eastAsia="en-US"/>
        </w:rPr>
        <w:t>което се извършва преди г</w:t>
      </w:r>
      <w:r w:rsidRPr="00BF7E1C">
        <w:rPr>
          <w:rFonts w:ascii="Times New Roman" w:eastAsia="Times New Roman" w:hAnsi="Times New Roman" w:cs="Times New Roman"/>
          <w:color w:val="auto"/>
          <w:sz w:val="24"/>
          <w:szCs w:val="24"/>
          <w:lang w:eastAsia="en-US"/>
        </w:rPr>
        <w:t>одишното изравняване за 202</w:t>
      </w:r>
      <w:r w:rsidRPr="00BF7E1C">
        <w:rPr>
          <w:rFonts w:ascii="Times New Roman" w:eastAsia="Times New Roman" w:hAnsi="Times New Roman" w:cs="Times New Roman"/>
          <w:color w:val="auto"/>
          <w:sz w:val="24"/>
          <w:szCs w:val="24"/>
          <w:lang w:val="ru-RU" w:eastAsia="en-US"/>
        </w:rPr>
        <w:t>5</w:t>
      </w:r>
      <w:r w:rsidRPr="00BF7E1C">
        <w:rPr>
          <w:rFonts w:ascii="Times New Roman" w:eastAsia="Times New Roman" w:hAnsi="Times New Roman" w:cs="Times New Roman"/>
          <w:color w:val="auto"/>
          <w:sz w:val="24"/>
          <w:szCs w:val="24"/>
          <w:lang w:eastAsia="en-US"/>
        </w:rPr>
        <w:t xml:space="preserve"> г.,</w:t>
      </w:r>
      <w:r w:rsidRPr="00BF7E1C">
        <w:rPr>
          <w:rFonts w:ascii="Times New Roman" w:hAnsi="Times New Roman" w:cs="Times New Roman"/>
          <w:color w:val="auto"/>
          <w:sz w:val="24"/>
          <w:szCs w:val="24"/>
          <w:shd w:val="clear" w:color="auto" w:fill="FFFFFF"/>
          <w:lang w:val="ru-RU" w:eastAsia="en-US"/>
        </w:rPr>
        <w:t xml:space="preserve"> окончателните размери на превишенията на на годишните бюджети за 2025 г. за основните групи </w:t>
      </w:r>
      <w:r w:rsidRPr="00BF7E1C">
        <w:rPr>
          <w:rFonts w:ascii="Times New Roman" w:eastAsia="Times New Roman" w:hAnsi="Times New Roman" w:cs="Times New Roman"/>
          <w:color w:val="auto"/>
          <w:sz w:val="24"/>
          <w:szCs w:val="24"/>
          <w:lang w:val="en-US" w:eastAsia="en-US"/>
        </w:rPr>
        <w:t>„K“</w:t>
      </w:r>
      <w:r w:rsidRPr="00BF7E1C">
        <w:rPr>
          <w:rFonts w:ascii="Times New Roman" w:eastAsia="Times New Roman" w:hAnsi="Times New Roman" w:cs="Times New Roman"/>
          <w:color w:val="auto"/>
          <w:sz w:val="24"/>
          <w:szCs w:val="24"/>
          <w:lang w:eastAsia="en-US"/>
        </w:rPr>
        <w:t>,</w:t>
      </w:r>
      <w:r w:rsidRPr="00BF7E1C">
        <w:rPr>
          <w:rFonts w:ascii="Times New Roman" w:eastAsia="Times New Roman" w:hAnsi="Times New Roman" w:cs="Times New Roman"/>
          <w:color w:val="auto"/>
          <w:sz w:val="24"/>
          <w:szCs w:val="24"/>
          <w:lang w:val="en-US" w:eastAsia="en-US"/>
        </w:rPr>
        <w:t xml:space="preserve"> „L“ </w:t>
      </w:r>
      <w:r w:rsidRPr="00BF7E1C">
        <w:rPr>
          <w:rFonts w:ascii="Times New Roman" w:eastAsia="Times New Roman" w:hAnsi="Times New Roman" w:cs="Times New Roman"/>
          <w:color w:val="auto"/>
          <w:sz w:val="24"/>
          <w:szCs w:val="24"/>
          <w:lang w:eastAsia="en-US"/>
        </w:rPr>
        <w:t>,</w:t>
      </w:r>
      <w:r w:rsidRPr="00BF7E1C">
        <w:rPr>
          <w:rFonts w:ascii="Times New Roman" w:eastAsia="Times New Roman" w:hAnsi="Times New Roman" w:cs="Times New Roman"/>
          <w:color w:val="auto"/>
          <w:sz w:val="24"/>
          <w:szCs w:val="24"/>
          <w:lang w:val="en-US" w:eastAsia="en-US"/>
        </w:rPr>
        <w:t xml:space="preserve"> „M“ </w:t>
      </w:r>
      <w:r w:rsidRPr="00BF7E1C">
        <w:rPr>
          <w:rFonts w:ascii="Times New Roman" w:eastAsia="Times New Roman" w:hAnsi="Times New Roman" w:cs="Times New Roman"/>
          <w:color w:val="auto"/>
          <w:sz w:val="24"/>
          <w:szCs w:val="24"/>
          <w:lang w:eastAsia="en-US"/>
        </w:rPr>
        <w:t xml:space="preserve"> и</w:t>
      </w:r>
      <w:r w:rsidRPr="00BF7E1C">
        <w:rPr>
          <w:rFonts w:ascii="Times New Roman" w:eastAsia="Times New Roman" w:hAnsi="Times New Roman" w:cs="Times New Roman"/>
          <w:color w:val="auto"/>
          <w:sz w:val="24"/>
          <w:szCs w:val="24"/>
          <w:lang w:val="en-US" w:eastAsia="en-US"/>
        </w:rPr>
        <w:t xml:space="preserve"> „N“</w:t>
      </w:r>
      <w:r w:rsidRPr="00BF7E1C">
        <w:rPr>
          <w:rFonts w:ascii="Times New Roman" w:eastAsia="Times New Roman" w:hAnsi="Times New Roman" w:cs="Times New Roman"/>
          <w:color w:val="auto"/>
          <w:sz w:val="24"/>
          <w:szCs w:val="24"/>
          <w:lang w:eastAsia="en-US"/>
        </w:rPr>
        <w:t xml:space="preserve"> са:</w:t>
      </w:r>
    </w:p>
    <w:p w14:paraId="05255E4D" w14:textId="77777777" w:rsidR="00BF7E1C" w:rsidRPr="00BF7E1C" w:rsidRDefault="00BF7E1C" w:rsidP="00BF7E1C">
      <w:pPr>
        <w:spacing w:after="0" w:line="240" w:lineRule="auto"/>
        <w:ind w:firstLine="708"/>
        <w:jc w:val="both"/>
        <w:rPr>
          <w:rFonts w:ascii="Times New Roman" w:eastAsia="Times New Roman" w:hAnsi="Times New Roman" w:cs="Times New Roman"/>
          <w:color w:val="auto"/>
          <w:sz w:val="24"/>
          <w:szCs w:val="24"/>
          <w:lang w:val="en-US" w:eastAsia="en-US"/>
        </w:rPr>
      </w:pPr>
    </w:p>
    <w:p w14:paraId="059F52F8" w14:textId="77777777" w:rsidR="00BF7E1C" w:rsidRPr="00BF7E1C" w:rsidRDefault="00BF7E1C" w:rsidP="00BF7E1C">
      <w:pPr>
        <w:spacing w:after="0" w:line="240" w:lineRule="auto"/>
        <w:ind w:firstLine="708"/>
        <w:jc w:val="both"/>
        <w:rPr>
          <w:rFonts w:ascii="Times New Roman" w:eastAsia="Times New Roman" w:hAnsi="Times New Roman" w:cs="Times New Roman"/>
          <w:color w:val="auto"/>
          <w:sz w:val="24"/>
          <w:szCs w:val="24"/>
          <w:lang w:val="en-US" w:eastAsia="en-US"/>
        </w:rPr>
      </w:pPr>
    </w:p>
    <w:tbl>
      <w:tblPr>
        <w:tblW w:w="6240" w:type="dxa"/>
        <w:jc w:val="center"/>
        <w:tblCellMar>
          <w:left w:w="70" w:type="dxa"/>
          <w:right w:w="70" w:type="dxa"/>
        </w:tblCellMar>
        <w:tblLook w:val="04A0" w:firstRow="1" w:lastRow="0" w:firstColumn="1" w:lastColumn="0" w:noHBand="0" w:noVBand="1"/>
      </w:tblPr>
      <w:tblGrid>
        <w:gridCol w:w="980"/>
        <w:gridCol w:w="1780"/>
        <w:gridCol w:w="1780"/>
        <w:gridCol w:w="1700"/>
      </w:tblGrid>
      <w:tr w:rsidR="00BF7E1C" w:rsidRPr="00BF7E1C" w14:paraId="323BFB21" w14:textId="77777777" w:rsidTr="00BB0E04">
        <w:trPr>
          <w:trHeight w:val="1020"/>
          <w:jc w:val="center"/>
        </w:trPr>
        <w:tc>
          <w:tcPr>
            <w:tcW w:w="980" w:type="dxa"/>
            <w:tcBorders>
              <w:top w:val="single" w:sz="4" w:space="0" w:color="auto"/>
              <w:left w:val="single" w:sz="4" w:space="0" w:color="auto"/>
              <w:bottom w:val="single" w:sz="4" w:space="0" w:color="auto"/>
              <w:right w:val="single" w:sz="4" w:space="0" w:color="auto"/>
            </w:tcBorders>
            <w:vAlign w:val="center"/>
            <w:hideMark/>
          </w:tcPr>
          <w:p w14:paraId="4C3EA0E7" w14:textId="77777777" w:rsidR="00BF7E1C" w:rsidRPr="00BF7E1C" w:rsidRDefault="00BF7E1C" w:rsidP="00BF7E1C">
            <w:pPr>
              <w:spacing w:after="0" w:line="240" w:lineRule="auto"/>
              <w:jc w:val="center"/>
              <w:rPr>
                <w:rFonts w:ascii="Times New Roman" w:eastAsia="Times New Roman" w:hAnsi="Times New Roman" w:cs="Times New Roman"/>
                <w:b/>
                <w:bCs/>
                <w:sz w:val="20"/>
                <w:szCs w:val="20"/>
              </w:rPr>
            </w:pPr>
            <w:r w:rsidRPr="00BF7E1C">
              <w:rPr>
                <w:rFonts w:ascii="Times New Roman" w:eastAsia="Times New Roman" w:hAnsi="Times New Roman" w:cs="Times New Roman"/>
                <w:b/>
                <w:bCs/>
                <w:sz w:val="20"/>
                <w:szCs w:val="20"/>
              </w:rPr>
              <w:t>Основна група</w:t>
            </w:r>
          </w:p>
        </w:tc>
        <w:tc>
          <w:tcPr>
            <w:tcW w:w="1780" w:type="dxa"/>
            <w:tcBorders>
              <w:top w:val="single" w:sz="4" w:space="0" w:color="auto"/>
              <w:left w:val="nil"/>
              <w:bottom w:val="single" w:sz="4" w:space="0" w:color="auto"/>
              <w:right w:val="single" w:sz="4" w:space="0" w:color="auto"/>
            </w:tcBorders>
            <w:vAlign w:val="center"/>
            <w:hideMark/>
          </w:tcPr>
          <w:p w14:paraId="19AF8939" w14:textId="77777777" w:rsidR="00BF7E1C" w:rsidRPr="00BF7E1C" w:rsidRDefault="00BF7E1C" w:rsidP="00BF7E1C">
            <w:pPr>
              <w:spacing w:after="0" w:line="240" w:lineRule="auto"/>
              <w:jc w:val="center"/>
              <w:rPr>
                <w:rFonts w:ascii="Times New Roman" w:eastAsia="Times New Roman" w:hAnsi="Times New Roman" w:cs="Times New Roman"/>
                <w:b/>
                <w:bCs/>
                <w:sz w:val="20"/>
                <w:szCs w:val="20"/>
              </w:rPr>
            </w:pPr>
            <w:r w:rsidRPr="00BF7E1C">
              <w:rPr>
                <w:rFonts w:ascii="Times New Roman" w:eastAsia="Times New Roman" w:hAnsi="Times New Roman" w:cs="Times New Roman"/>
                <w:b/>
                <w:bCs/>
                <w:sz w:val="20"/>
                <w:szCs w:val="20"/>
              </w:rPr>
              <w:t>Нетен разход за 2025г., лв.</w:t>
            </w:r>
          </w:p>
        </w:tc>
        <w:tc>
          <w:tcPr>
            <w:tcW w:w="1780" w:type="dxa"/>
            <w:tcBorders>
              <w:top w:val="single" w:sz="4" w:space="0" w:color="auto"/>
              <w:left w:val="nil"/>
              <w:bottom w:val="single" w:sz="4" w:space="0" w:color="auto"/>
              <w:right w:val="single" w:sz="4" w:space="0" w:color="auto"/>
            </w:tcBorders>
            <w:vAlign w:val="center"/>
            <w:hideMark/>
          </w:tcPr>
          <w:p w14:paraId="7E30183C" w14:textId="77777777" w:rsidR="00BF7E1C" w:rsidRPr="00BF7E1C" w:rsidRDefault="00BF7E1C" w:rsidP="00BF7E1C">
            <w:pPr>
              <w:spacing w:after="0" w:line="240" w:lineRule="auto"/>
              <w:jc w:val="center"/>
              <w:rPr>
                <w:rFonts w:ascii="Times New Roman" w:eastAsia="Times New Roman" w:hAnsi="Times New Roman" w:cs="Times New Roman"/>
                <w:b/>
                <w:bCs/>
                <w:sz w:val="20"/>
                <w:szCs w:val="20"/>
              </w:rPr>
            </w:pPr>
            <w:r w:rsidRPr="00BF7E1C">
              <w:rPr>
                <w:rFonts w:ascii="Times New Roman" w:eastAsia="Times New Roman" w:hAnsi="Times New Roman" w:cs="Times New Roman"/>
                <w:b/>
                <w:bCs/>
                <w:sz w:val="20"/>
                <w:szCs w:val="20"/>
              </w:rPr>
              <w:t>Превишение след годишно компенсиране,  лв.</w:t>
            </w:r>
          </w:p>
        </w:tc>
        <w:tc>
          <w:tcPr>
            <w:tcW w:w="1700" w:type="dxa"/>
            <w:tcBorders>
              <w:top w:val="single" w:sz="4" w:space="0" w:color="auto"/>
              <w:left w:val="nil"/>
              <w:bottom w:val="single" w:sz="4" w:space="0" w:color="auto"/>
              <w:right w:val="single" w:sz="4" w:space="0" w:color="auto"/>
            </w:tcBorders>
            <w:vAlign w:val="center"/>
            <w:hideMark/>
          </w:tcPr>
          <w:p w14:paraId="161EAF69" w14:textId="77777777" w:rsidR="00BF7E1C" w:rsidRPr="00BF7E1C" w:rsidRDefault="00BF7E1C" w:rsidP="00BF7E1C">
            <w:pPr>
              <w:spacing w:after="0" w:line="240" w:lineRule="auto"/>
              <w:jc w:val="center"/>
              <w:rPr>
                <w:rFonts w:ascii="Times New Roman" w:eastAsia="Times New Roman" w:hAnsi="Times New Roman" w:cs="Times New Roman"/>
                <w:b/>
                <w:bCs/>
                <w:sz w:val="20"/>
                <w:szCs w:val="20"/>
              </w:rPr>
            </w:pPr>
            <w:r w:rsidRPr="00BF7E1C">
              <w:rPr>
                <w:rFonts w:ascii="Times New Roman" w:eastAsia="Times New Roman" w:hAnsi="Times New Roman" w:cs="Times New Roman"/>
                <w:b/>
                <w:bCs/>
                <w:sz w:val="20"/>
                <w:szCs w:val="20"/>
              </w:rPr>
              <w:t>Превишение след годишно компенсиране,  евро</w:t>
            </w:r>
          </w:p>
        </w:tc>
      </w:tr>
      <w:tr w:rsidR="00BF7E1C" w:rsidRPr="00BF7E1C" w14:paraId="4FF7038F" w14:textId="77777777" w:rsidTr="00BB0E04">
        <w:trPr>
          <w:trHeight w:val="300"/>
          <w:jc w:val="center"/>
        </w:trPr>
        <w:tc>
          <w:tcPr>
            <w:tcW w:w="980" w:type="dxa"/>
            <w:tcBorders>
              <w:top w:val="nil"/>
              <w:left w:val="single" w:sz="4" w:space="0" w:color="auto"/>
              <w:bottom w:val="single" w:sz="4" w:space="0" w:color="auto"/>
              <w:right w:val="single" w:sz="4" w:space="0" w:color="auto"/>
            </w:tcBorders>
            <w:vAlign w:val="center"/>
            <w:hideMark/>
          </w:tcPr>
          <w:p w14:paraId="421DEC5E" w14:textId="77777777" w:rsidR="00BF7E1C" w:rsidRPr="00BF7E1C" w:rsidRDefault="00BF7E1C" w:rsidP="00BF7E1C">
            <w:pPr>
              <w:spacing w:after="0" w:line="240" w:lineRule="auto"/>
              <w:jc w:val="center"/>
              <w:rPr>
                <w:rFonts w:ascii="Times New Roman" w:eastAsia="Times New Roman" w:hAnsi="Times New Roman" w:cs="Times New Roman"/>
                <w:b/>
                <w:bCs/>
                <w:sz w:val="20"/>
                <w:szCs w:val="20"/>
              </w:rPr>
            </w:pPr>
            <w:r w:rsidRPr="00BF7E1C">
              <w:rPr>
                <w:rFonts w:ascii="Times New Roman" w:eastAsia="Times New Roman" w:hAnsi="Times New Roman" w:cs="Times New Roman"/>
                <w:b/>
                <w:bCs/>
                <w:sz w:val="20"/>
                <w:szCs w:val="20"/>
              </w:rPr>
              <w:t>K</w:t>
            </w:r>
          </w:p>
        </w:tc>
        <w:tc>
          <w:tcPr>
            <w:tcW w:w="1780" w:type="dxa"/>
            <w:tcBorders>
              <w:top w:val="nil"/>
              <w:left w:val="nil"/>
              <w:bottom w:val="single" w:sz="4" w:space="0" w:color="auto"/>
              <w:right w:val="single" w:sz="4" w:space="0" w:color="auto"/>
            </w:tcBorders>
            <w:noWrap/>
            <w:vAlign w:val="center"/>
            <w:hideMark/>
          </w:tcPr>
          <w:p w14:paraId="1101A1A7" w14:textId="77777777" w:rsidR="00BF7E1C" w:rsidRPr="00BF7E1C" w:rsidRDefault="00BF7E1C" w:rsidP="00BF7E1C">
            <w:pPr>
              <w:spacing w:after="0" w:line="240" w:lineRule="auto"/>
              <w:jc w:val="right"/>
              <w:rPr>
                <w:rFonts w:ascii="Times New Roman" w:eastAsia="Times New Roman" w:hAnsi="Times New Roman" w:cs="Times New Roman"/>
                <w:sz w:val="20"/>
                <w:szCs w:val="20"/>
              </w:rPr>
            </w:pPr>
            <w:r w:rsidRPr="00BF7E1C">
              <w:rPr>
                <w:rFonts w:ascii="Times New Roman" w:eastAsia="Times New Roman" w:hAnsi="Times New Roman" w:cs="Times New Roman"/>
                <w:sz w:val="20"/>
                <w:szCs w:val="20"/>
              </w:rPr>
              <w:t>908 441 636</w:t>
            </w:r>
          </w:p>
        </w:tc>
        <w:tc>
          <w:tcPr>
            <w:tcW w:w="1780" w:type="dxa"/>
            <w:tcBorders>
              <w:top w:val="nil"/>
              <w:left w:val="nil"/>
              <w:bottom w:val="single" w:sz="4" w:space="0" w:color="auto"/>
              <w:right w:val="single" w:sz="4" w:space="0" w:color="auto"/>
            </w:tcBorders>
            <w:noWrap/>
            <w:vAlign w:val="center"/>
            <w:hideMark/>
          </w:tcPr>
          <w:p w14:paraId="06A32C6F" w14:textId="77777777" w:rsidR="00BF7E1C" w:rsidRPr="00BF7E1C" w:rsidRDefault="00BF7E1C" w:rsidP="00BF7E1C">
            <w:pPr>
              <w:spacing w:after="0" w:line="240" w:lineRule="auto"/>
              <w:jc w:val="right"/>
              <w:rPr>
                <w:rFonts w:ascii="Times New Roman" w:eastAsia="Times New Roman" w:hAnsi="Times New Roman" w:cs="Times New Roman"/>
                <w:sz w:val="20"/>
                <w:szCs w:val="20"/>
              </w:rPr>
            </w:pPr>
            <w:r w:rsidRPr="00BF7E1C">
              <w:rPr>
                <w:rFonts w:ascii="Times New Roman" w:eastAsia="Times New Roman" w:hAnsi="Times New Roman" w:cs="Times New Roman"/>
                <w:sz w:val="20"/>
                <w:szCs w:val="20"/>
              </w:rPr>
              <w:t>188 606 436</w:t>
            </w:r>
          </w:p>
        </w:tc>
        <w:tc>
          <w:tcPr>
            <w:tcW w:w="1700" w:type="dxa"/>
            <w:tcBorders>
              <w:top w:val="nil"/>
              <w:left w:val="nil"/>
              <w:bottom w:val="single" w:sz="4" w:space="0" w:color="auto"/>
              <w:right w:val="single" w:sz="4" w:space="0" w:color="auto"/>
            </w:tcBorders>
            <w:noWrap/>
            <w:vAlign w:val="center"/>
            <w:hideMark/>
          </w:tcPr>
          <w:p w14:paraId="3CEC4A9B" w14:textId="77777777" w:rsidR="00BF7E1C" w:rsidRPr="00BF7E1C" w:rsidRDefault="00BF7E1C" w:rsidP="00BF7E1C">
            <w:pPr>
              <w:spacing w:after="0" w:line="240" w:lineRule="auto"/>
              <w:jc w:val="right"/>
              <w:rPr>
                <w:rFonts w:ascii="Times New Roman" w:eastAsia="Times New Roman" w:hAnsi="Times New Roman" w:cs="Times New Roman"/>
                <w:sz w:val="20"/>
                <w:szCs w:val="20"/>
              </w:rPr>
            </w:pPr>
            <w:r w:rsidRPr="00BF7E1C">
              <w:rPr>
                <w:rFonts w:ascii="Times New Roman" w:eastAsia="Times New Roman" w:hAnsi="Times New Roman" w:cs="Times New Roman"/>
                <w:sz w:val="20"/>
                <w:szCs w:val="20"/>
              </w:rPr>
              <w:t>96 432 939</w:t>
            </w:r>
          </w:p>
        </w:tc>
      </w:tr>
      <w:tr w:rsidR="00BF7E1C" w:rsidRPr="00BF7E1C" w14:paraId="5519664F" w14:textId="77777777" w:rsidTr="00BB0E04">
        <w:trPr>
          <w:trHeight w:val="300"/>
          <w:jc w:val="center"/>
        </w:trPr>
        <w:tc>
          <w:tcPr>
            <w:tcW w:w="980" w:type="dxa"/>
            <w:tcBorders>
              <w:top w:val="nil"/>
              <w:left w:val="single" w:sz="4" w:space="0" w:color="auto"/>
              <w:bottom w:val="single" w:sz="4" w:space="0" w:color="auto"/>
              <w:right w:val="single" w:sz="4" w:space="0" w:color="auto"/>
            </w:tcBorders>
            <w:vAlign w:val="center"/>
            <w:hideMark/>
          </w:tcPr>
          <w:p w14:paraId="52506A54" w14:textId="77777777" w:rsidR="00BF7E1C" w:rsidRPr="00BF7E1C" w:rsidRDefault="00BF7E1C" w:rsidP="00BF7E1C">
            <w:pPr>
              <w:spacing w:after="0" w:line="240" w:lineRule="auto"/>
              <w:jc w:val="center"/>
              <w:rPr>
                <w:rFonts w:ascii="Times New Roman" w:eastAsia="Times New Roman" w:hAnsi="Times New Roman" w:cs="Times New Roman"/>
                <w:b/>
                <w:bCs/>
                <w:sz w:val="20"/>
                <w:szCs w:val="20"/>
              </w:rPr>
            </w:pPr>
            <w:r w:rsidRPr="00BF7E1C">
              <w:rPr>
                <w:rFonts w:ascii="Times New Roman" w:eastAsia="Times New Roman" w:hAnsi="Times New Roman" w:cs="Times New Roman"/>
                <w:b/>
                <w:bCs/>
                <w:sz w:val="20"/>
                <w:szCs w:val="20"/>
              </w:rPr>
              <w:t>L</w:t>
            </w:r>
          </w:p>
        </w:tc>
        <w:tc>
          <w:tcPr>
            <w:tcW w:w="1780" w:type="dxa"/>
            <w:tcBorders>
              <w:top w:val="nil"/>
              <w:left w:val="nil"/>
              <w:bottom w:val="single" w:sz="4" w:space="0" w:color="auto"/>
              <w:right w:val="single" w:sz="4" w:space="0" w:color="auto"/>
            </w:tcBorders>
            <w:noWrap/>
            <w:vAlign w:val="center"/>
            <w:hideMark/>
          </w:tcPr>
          <w:p w14:paraId="720BE923" w14:textId="77777777" w:rsidR="00BF7E1C" w:rsidRPr="00BF7E1C" w:rsidRDefault="00BF7E1C" w:rsidP="00BF7E1C">
            <w:pPr>
              <w:spacing w:after="0" w:line="240" w:lineRule="auto"/>
              <w:jc w:val="right"/>
              <w:rPr>
                <w:rFonts w:ascii="Times New Roman" w:eastAsia="Times New Roman" w:hAnsi="Times New Roman" w:cs="Times New Roman"/>
                <w:sz w:val="20"/>
                <w:szCs w:val="20"/>
              </w:rPr>
            </w:pPr>
            <w:r w:rsidRPr="00BF7E1C">
              <w:rPr>
                <w:rFonts w:ascii="Times New Roman" w:eastAsia="Times New Roman" w:hAnsi="Times New Roman" w:cs="Times New Roman"/>
                <w:sz w:val="20"/>
                <w:szCs w:val="20"/>
              </w:rPr>
              <w:t>467 409 409</w:t>
            </w:r>
          </w:p>
        </w:tc>
        <w:tc>
          <w:tcPr>
            <w:tcW w:w="1780" w:type="dxa"/>
            <w:tcBorders>
              <w:top w:val="nil"/>
              <w:left w:val="nil"/>
              <w:bottom w:val="single" w:sz="4" w:space="0" w:color="auto"/>
              <w:right w:val="single" w:sz="4" w:space="0" w:color="auto"/>
            </w:tcBorders>
            <w:noWrap/>
            <w:vAlign w:val="center"/>
            <w:hideMark/>
          </w:tcPr>
          <w:p w14:paraId="4DFBCEA3" w14:textId="77777777" w:rsidR="00BF7E1C" w:rsidRPr="00BF7E1C" w:rsidRDefault="00BF7E1C" w:rsidP="00BF7E1C">
            <w:pPr>
              <w:spacing w:after="0" w:line="240" w:lineRule="auto"/>
              <w:jc w:val="right"/>
              <w:rPr>
                <w:rFonts w:ascii="Times New Roman" w:eastAsia="Times New Roman" w:hAnsi="Times New Roman" w:cs="Times New Roman"/>
                <w:sz w:val="20"/>
                <w:szCs w:val="20"/>
              </w:rPr>
            </w:pPr>
            <w:r w:rsidRPr="00BF7E1C">
              <w:rPr>
                <w:rFonts w:ascii="Times New Roman" w:eastAsia="Times New Roman" w:hAnsi="Times New Roman" w:cs="Times New Roman"/>
                <w:sz w:val="20"/>
                <w:szCs w:val="20"/>
              </w:rPr>
              <w:t>77 083 509</w:t>
            </w:r>
          </w:p>
        </w:tc>
        <w:tc>
          <w:tcPr>
            <w:tcW w:w="1700" w:type="dxa"/>
            <w:tcBorders>
              <w:top w:val="nil"/>
              <w:left w:val="nil"/>
              <w:bottom w:val="single" w:sz="4" w:space="0" w:color="auto"/>
              <w:right w:val="single" w:sz="4" w:space="0" w:color="auto"/>
            </w:tcBorders>
            <w:noWrap/>
            <w:vAlign w:val="center"/>
            <w:hideMark/>
          </w:tcPr>
          <w:p w14:paraId="503324D9" w14:textId="77777777" w:rsidR="00BF7E1C" w:rsidRPr="00BF7E1C" w:rsidRDefault="00BF7E1C" w:rsidP="00BF7E1C">
            <w:pPr>
              <w:spacing w:after="0" w:line="240" w:lineRule="auto"/>
              <w:jc w:val="right"/>
              <w:rPr>
                <w:rFonts w:ascii="Times New Roman" w:eastAsia="Times New Roman" w:hAnsi="Times New Roman" w:cs="Times New Roman"/>
                <w:sz w:val="20"/>
                <w:szCs w:val="20"/>
              </w:rPr>
            </w:pPr>
            <w:r w:rsidRPr="00BF7E1C">
              <w:rPr>
                <w:rFonts w:ascii="Times New Roman" w:eastAsia="Times New Roman" w:hAnsi="Times New Roman" w:cs="Times New Roman"/>
                <w:sz w:val="20"/>
                <w:szCs w:val="20"/>
              </w:rPr>
              <w:t>39 412 172</w:t>
            </w:r>
          </w:p>
        </w:tc>
      </w:tr>
      <w:tr w:rsidR="00BF7E1C" w:rsidRPr="00BF7E1C" w14:paraId="49204EAD" w14:textId="77777777" w:rsidTr="00BB0E04">
        <w:trPr>
          <w:trHeight w:val="300"/>
          <w:jc w:val="center"/>
        </w:trPr>
        <w:tc>
          <w:tcPr>
            <w:tcW w:w="980" w:type="dxa"/>
            <w:tcBorders>
              <w:top w:val="nil"/>
              <w:left w:val="single" w:sz="4" w:space="0" w:color="auto"/>
              <w:bottom w:val="single" w:sz="4" w:space="0" w:color="auto"/>
              <w:right w:val="single" w:sz="4" w:space="0" w:color="auto"/>
            </w:tcBorders>
            <w:vAlign w:val="center"/>
            <w:hideMark/>
          </w:tcPr>
          <w:p w14:paraId="4A76B77F" w14:textId="77777777" w:rsidR="00BF7E1C" w:rsidRPr="00BF7E1C" w:rsidRDefault="00BF7E1C" w:rsidP="00BF7E1C">
            <w:pPr>
              <w:spacing w:after="0" w:line="240" w:lineRule="auto"/>
              <w:jc w:val="center"/>
              <w:rPr>
                <w:rFonts w:ascii="Times New Roman" w:eastAsia="Times New Roman" w:hAnsi="Times New Roman" w:cs="Times New Roman"/>
                <w:b/>
                <w:bCs/>
                <w:sz w:val="20"/>
                <w:szCs w:val="20"/>
              </w:rPr>
            </w:pPr>
            <w:r w:rsidRPr="00BF7E1C">
              <w:rPr>
                <w:rFonts w:ascii="Times New Roman" w:eastAsia="Times New Roman" w:hAnsi="Times New Roman" w:cs="Times New Roman"/>
                <w:b/>
                <w:bCs/>
                <w:sz w:val="20"/>
                <w:szCs w:val="20"/>
              </w:rPr>
              <w:t>M</w:t>
            </w:r>
          </w:p>
        </w:tc>
        <w:tc>
          <w:tcPr>
            <w:tcW w:w="1780" w:type="dxa"/>
            <w:tcBorders>
              <w:top w:val="nil"/>
              <w:left w:val="nil"/>
              <w:bottom w:val="single" w:sz="4" w:space="0" w:color="auto"/>
              <w:right w:val="single" w:sz="4" w:space="0" w:color="auto"/>
            </w:tcBorders>
            <w:noWrap/>
            <w:vAlign w:val="center"/>
            <w:hideMark/>
          </w:tcPr>
          <w:p w14:paraId="476A51F6" w14:textId="77777777" w:rsidR="00BF7E1C" w:rsidRPr="00BF7E1C" w:rsidRDefault="00BF7E1C" w:rsidP="00BF7E1C">
            <w:pPr>
              <w:spacing w:after="0" w:line="240" w:lineRule="auto"/>
              <w:jc w:val="right"/>
              <w:rPr>
                <w:rFonts w:ascii="Times New Roman" w:eastAsia="Times New Roman" w:hAnsi="Times New Roman" w:cs="Times New Roman"/>
                <w:sz w:val="20"/>
                <w:szCs w:val="20"/>
              </w:rPr>
            </w:pPr>
            <w:r w:rsidRPr="00BF7E1C">
              <w:rPr>
                <w:rFonts w:ascii="Times New Roman" w:eastAsia="Times New Roman" w:hAnsi="Times New Roman" w:cs="Times New Roman"/>
                <w:sz w:val="20"/>
                <w:szCs w:val="20"/>
              </w:rPr>
              <w:t>1 377 828 822</w:t>
            </w:r>
          </w:p>
        </w:tc>
        <w:tc>
          <w:tcPr>
            <w:tcW w:w="1780" w:type="dxa"/>
            <w:tcBorders>
              <w:top w:val="nil"/>
              <w:left w:val="nil"/>
              <w:bottom w:val="single" w:sz="4" w:space="0" w:color="auto"/>
              <w:right w:val="single" w:sz="4" w:space="0" w:color="auto"/>
            </w:tcBorders>
            <w:noWrap/>
            <w:vAlign w:val="center"/>
            <w:hideMark/>
          </w:tcPr>
          <w:p w14:paraId="54D72781" w14:textId="77777777" w:rsidR="00BF7E1C" w:rsidRPr="00BF7E1C" w:rsidRDefault="00BF7E1C" w:rsidP="00BF7E1C">
            <w:pPr>
              <w:spacing w:after="0" w:line="240" w:lineRule="auto"/>
              <w:jc w:val="right"/>
              <w:rPr>
                <w:rFonts w:ascii="Times New Roman" w:eastAsia="Times New Roman" w:hAnsi="Times New Roman" w:cs="Times New Roman"/>
                <w:sz w:val="20"/>
                <w:szCs w:val="20"/>
              </w:rPr>
            </w:pPr>
            <w:r w:rsidRPr="00BF7E1C">
              <w:rPr>
                <w:rFonts w:ascii="Times New Roman" w:eastAsia="Times New Roman" w:hAnsi="Times New Roman" w:cs="Times New Roman"/>
                <w:sz w:val="20"/>
                <w:szCs w:val="20"/>
              </w:rPr>
              <w:t>317 757 404</w:t>
            </w:r>
          </w:p>
        </w:tc>
        <w:tc>
          <w:tcPr>
            <w:tcW w:w="1700" w:type="dxa"/>
            <w:tcBorders>
              <w:top w:val="nil"/>
              <w:left w:val="nil"/>
              <w:bottom w:val="single" w:sz="4" w:space="0" w:color="auto"/>
              <w:right w:val="single" w:sz="4" w:space="0" w:color="auto"/>
            </w:tcBorders>
            <w:noWrap/>
            <w:vAlign w:val="center"/>
            <w:hideMark/>
          </w:tcPr>
          <w:p w14:paraId="5D13513C" w14:textId="77777777" w:rsidR="00BF7E1C" w:rsidRPr="00BF7E1C" w:rsidRDefault="00BF7E1C" w:rsidP="00BF7E1C">
            <w:pPr>
              <w:spacing w:after="0" w:line="240" w:lineRule="auto"/>
              <w:jc w:val="right"/>
              <w:rPr>
                <w:rFonts w:ascii="Times New Roman" w:eastAsia="Times New Roman" w:hAnsi="Times New Roman" w:cs="Times New Roman"/>
                <w:sz w:val="20"/>
                <w:szCs w:val="20"/>
              </w:rPr>
            </w:pPr>
            <w:r w:rsidRPr="00BF7E1C">
              <w:rPr>
                <w:rFonts w:ascii="Times New Roman" w:eastAsia="Times New Roman" w:hAnsi="Times New Roman" w:cs="Times New Roman"/>
                <w:sz w:val="20"/>
                <w:szCs w:val="20"/>
              </w:rPr>
              <w:t>162 466 781</w:t>
            </w:r>
          </w:p>
        </w:tc>
      </w:tr>
      <w:tr w:rsidR="00BF7E1C" w:rsidRPr="00BF7E1C" w14:paraId="203AA343" w14:textId="77777777" w:rsidTr="00BB0E04">
        <w:trPr>
          <w:trHeight w:val="300"/>
          <w:jc w:val="center"/>
        </w:trPr>
        <w:tc>
          <w:tcPr>
            <w:tcW w:w="980" w:type="dxa"/>
            <w:tcBorders>
              <w:top w:val="nil"/>
              <w:left w:val="single" w:sz="4" w:space="0" w:color="auto"/>
              <w:bottom w:val="single" w:sz="4" w:space="0" w:color="auto"/>
              <w:right w:val="single" w:sz="4" w:space="0" w:color="auto"/>
            </w:tcBorders>
            <w:vAlign w:val="center"/>
            <w:hideMark/>
          </w:tcPr>
          <w:p w14:paraId="7777218E" w14:textId="77777777" w:rsidR="00BF7E1C" w:rsidRPr="00BF7E1C" w:rsidRDefault="00BF7E1C" w:rsidP="00BF7E1C">
            <w:pPr>
              <w:spacing w:after="0" w:line="240" w:lineRule="auto"/>
              <w:jc w:val="center"/>
              <w:rPr>
                <w:rFonts w:ascii="Times New Roman" w:eastAsia="Times New Roman" w:hAnsi="Times New Roman" w:cs="Times New Roman"/>
                <w:b/>
                <w:bCs/>
                <w:sz w:val="20"/>
                <w:szCs w:val="20"/>
              </w:rPr>
            </w:pPr>
            <w:r w:rsidRPr="00BF7E1C">
              <w:rPr>
                <w:rFonts w:ascii="Times New Roman" w:eastAsia="Times New Roman" w:hAnsi="Times New Roman" w:cs="Times New Roman"/>
                <w:b/>
                <w:bCs/>
                <w:sz w:val="20"/>
                <w:szCs w:val="20"/>
              </w:rPr>
              <w:t>N</w:t>
            </w:r>
          </w:p>
        </w:tc>
        <w:tc>
          <w:tcPr>
            <w:tcW w:w="1780" w:type="dxa"/>
            <w:tcBorders>
              <w:top w:val="nil"/>
              <w:left w:val="nil"/>
              <w:bottom w:val="single" w:sz="4" w:space="0" w:color="auto"/>
              <w:right w:val="single" w:sz="4" w:space="0" w:color="auto"/>
            </w:tcBorders>
            <w:noWrap/>
            <w:vAlign w:val="center"/>
            <w:hideMark/>
          </w:tcPr>
          <w:p w14:paraId="304F3534" w14:textId="77777777" w:rsidR="00BF7E1C" w:rsidRPr="00BF7E1C" w:rsidRDefault="00BF7E1C" w:rsidP="00BF7E1C">
            <w:pPr>
              <w:spacing w:after="0" w:line="240" w:lineRule="auto"/>
              <w:jc w:val="right"/>
              <w:rPr>
                <w:rFonts w:ascii="Times New Roman" w:eastAsia="Times New Roman" w:hAnsi="Times New Roman" w:cs="Times New Roman"/>
                <w:sz w:val="20"/>
                <w:szCs w:val="20"/>
              </w:rPr>
            </w:pPr>
            <w:r w:rsidRPr="00BF7E1C">
              <w:rPr>
                <w:rFonts w:ascii="Times New Roman" w:eastAsia="Times New Roman" w:hAnsi="Times New Roman" w:cs="Times New Roman"/>
                <w:sz w:val="20"/>
                <w:szCs w:val="20"/>
              </w:rPr>
              <w:t>55 489 186</w:t>
            </w:r>
          </w:p>
        </w:tc>
        <w:tc>
          <w:tcPr>
            <w:tcW w:w="1780" w:type="dxa"/>
            <w:tcBorders>
              <w:top w:val="nil"/>
              <w:left w:val="nil"/>
              <w:bottom w:val="single" w:sz="4" w:space="0" w:color="auto"/>
              <w:right w:val="single" w:sz="4" w:space="0" w:color="auto"/>
            </w:tcBorders>
            <w:noWrap/>
            <w:vAlign w:val="center"/>
            <w:hideMark/>
          </w:tcPr>
          <w:p w14:paraId="69B8E607" w14:textId="77777777" w:rsidR="00BF7E1C" w:rsidRPr="00BF7E1C" w:rsidRDefault="00BF7E1C" w:rsidP="00BF7E1C">
            <w:pPr>
              <w:spacing w:after="0" w:line="240" w:lineRule="auto"/>
              <w:jc w:val="right"/>
              <w:rPr>
                <w:rFonts w:ascii="Times New Roman" w:eastAsia="Times New Roman" w:hAnsi="Times New Roman" w:cs="Times New Roman"/>
                <w:sz w:val="20"/>
                <w:szCs w:val="20"/>
              </w:rPr>
            </w:pPr>
            <w:r w:rsidRPr="00BF7E1C">
              <w:rPr>
                <w:rFonts w:ascii="Times New Roman" w:eastAsia="Times New Roman" w:hAnsi="Times New Roman" w:cs="Times New Roman"/>
                <w:sz w:val="20"/>
                <w:szCs w:val="20"/>
              </w:rPr>
              <w:t>3 073 786</w:t>
            </w:r>
          </w:p>
        </w:tc>
        <w:tc>
          <w:tcPr>
            <w:tcW w:w="1700" w:type="dxa"/>
            <w:tcBorders>
              <w:top w:val="nil"/>
              <w:left w:val="nil"/>
              <w:bottom w:val="single" w:sz="4" w:space="0" w:color="auto"/>
              <w:right w:val="single" w:sz="4" w:space="0" w:color="auto"/>
            </w:tcBorders>
            <w:noWrap/>
            <w:vAlign w:val="center"/>
            <w:hideMark/>
          </w:tcPr>
          <w:p w14:paraId="755D8816" w14:textId="77777777" w:rsidR="00BF7E1C" w:rsidRPr="00BF7E1C" w:rsidRDefault="00BF7E1C" w:rsidP="00BF7E1C">
            <w:pPr>
              <w:spacing w:after="0" w:line="240" w:lineRule="auto"/>
              <w:jc w:val="right"/>
              <w:rPr>
                <w:rFonts w:ascii="Times New Roman" w:eastAsia="Times New Roman" w:hAnsi="Times New Roman" w:cs="Times New Roman"/>
                <w:sz w:val="20"/>
                <w:szCs w:val="20"/>
              </w:rPr>
            </w:pPr>
            <w:r w:rsidRPr="00BF7E1C">
              <w:rPr>
                <w:rFonts w:ascii="Times New Roman" w:eastAsia="Times New Roman" w:hAnsi="Times New Roman" w:cs="Times New Roman"/>
                <w:sz w:val="20"/>
                <w:szCs w:val="20"/>
              </w:rPr>
              <w:t>1 571 602</w:t>
            </w:r>
          </w:p>
        </w:tc>
      </w:tr>
      <w:tr w:rsidR="00BF7E1C" w:rsidRPr="00BF7E1C" w14:paraId="185F45CF" w14:textId="77777777" w:rsidTr="00BB0E04">
        <w:trPr>
          <w:trHeight w:val="300"/>
          <w:jc w:val="center"/>
        </w:trPr>
        <w:tc>
          <w:tcPr>
            <w:tcW w:w="980" w:type="dxa"/>
            <w:tcBorders>
              <w:top w:val="nil"/>
              <w:left w:val="single" w:sz="4" w:space="0" w:color="auto"/>
              <w:bottom w:val="single" w:sz="4" w:space="0" w:color="auto"/>
              <w:right w:val="single" w:sz="4" w:space="0" w:color="auto"/>
            </w:tcBorders>
            <w:vAlign w:val="center"/>
            <w:hideMark/>
          </w:tcPr>
          <w:p w14:paraId="04961124" w14:textId="77777777" w:rsidR="00BF7E1C" w:rsidRPr="00BF7E1C" w:rsidRDefault="00BF7E1C" w:rsidP="00BF7E1C">
            <w:pPr>
              <w:spacing w:after="0" w:line="240" w:lineRule="auto"/>
              <w:jc w:val="center"/>
              <w:rPr>
                <w:rFonts w:ascii="Times New Roman" w:eastAsia="Times New Roman" w:hAnsi="Times New Roman" w:cs="Times New Roman"/>
                <w:b/>
                <w:bCs/>
                <w:sz w:val="20"/>
                <w:szCs w:val="20"/>
              </w:rPr>
            </w:pPr>
            <w:r w:rsidRPr="00BF7E1C">
              <w:rPr>
                <w:rFonts w:ascii="Times New Roman" w:eastAsia="Times New Roman" w:hAnsi="Times New Roman" w:cs="Times New Roman"/>
                <w:b/>
                <w:bCs/>
                <w:sz w:val="20"/>
                <w:szCs w:val="20"/>
              </w:rPr>
              <w:t>P</w:t>
            </w:r>
          </w:p>
        </w:tc>
        <w:tc>
          <w:tcPr>
            <w:tcW w:w="1780" w:type="dxa"/>
            <w:tcBorders>
              <w:top w:val="nil"/>
              <w:left w:val="nil"/>
              <w:bottom w:val="single" w:sz="4" w:space="0" w:color="auto"/>
              <w:right w:val="single" w:sz="4" w:space="0" w:color="auto"/>
            </w:tcBorders>
            <w:noWrap/>
            <w:vAlign w:val="center"/>
            <w:hideMark/>
          </w:tcPr>
          <w:p w14:paraId="0C1C56B7" w14:textId="77777777" w:rsidR="00BF7E1C" w:rsidRPr="00BF7E1C" w:rsidRDefault="00BF7E1C" w:rsidP="00BF7E1C">
            <w:pPr>
              <w:spacing w:after="0" w:line="240" w:lineRule="auto"/>
              <w:jc w:val="right"/>
              <w:rPr>
                <w:rFonts w:ascii="Times New Roman" w:eastAsia="Times New Roman" w:hAnsi="Times New Roman" w:cs="Times New Roman"/>
                <w:sz w:val="20"/>
                <w:szCs w:val="20"/>
              </w:rPr>
            </w:pPr>
            <w:r w:rsidRPr="00BF7E1C">
              <w:rPr>
                <w:rFonts w:ascii="Times New Roman" w:eastAsia="Times New Roman" w:hAnsi="Times New Roman" w:cs="Times New Roman"/>
                <w:sz w:val="20"/>
                <w:szCs w:val="20"/>
              </w:rPr>
              <w:t>16 140 582</w:t>
            </w:r>
          </w:p>
        </w:tc>
        <w:tc>
          <w:tcPr>
            <w:tcW w:w="1780" w:type="dxa"/>
            <w:tcBorders>
              <w:top w:val="nil"/>
              <w:left w:val="nil"/>
              <w:bottom w:val="single" w:sz="4" w:space="0" w:color="auto"/>
              <w:right w:val="single" w:sz="4" w:space="0" w:color="auto"/>
            </w:tcBorders>
            <w:noWrap/>
            <w:vAlign w:val="center"/>
            <w:hideMark/>
          </w:tcPr>
          <w:p w14:paraId="36376CA5" w14:textId="77777777" w:rsidR="00BF7E1C" w:rsidRPr="00BF7E1C" w:rsidRDefault="00BF7E1C" w:rsidP="00BF7E1C">
            <w:pPr>
              <w:spacing w:after="0" w:line="240" w:lineRule="auto"/>
              <w:jc w:val="right"/>
              <w:rPr>
                <w:rFonts w:ascii="Times New Roman" w:eastAsia="Times New Roman" w:hAnsi="Times New Roman" w:cs="Times New Roman"/>
                <w:sz w:val="20"/>
                <w:szCs w:val="20"/>
              </w:rPr>
            </w:pPr>
            <w:r w:rsidRPr="00BF7E1C">
              <w:rPr>
                <w:rFonts w:ascii="Times New Roman" w:eastAsia="Times New Roman" w:hAnsi="Times New Roman" w:cs="Times New Roman"/>
                <w:sz w:val="20"/>
                <w:szCs w:val="20"/>
              </w:rPr>
              <w:t>0 </w:t>
            </w:r>
          </w:p>
        </w:tc>
        <w:tc>
          <w:tcPr>
            <w:tcW w:w="1700" w:type="dxa"/>
            <w:tcBorders>
              <w:top w:val="nil"/>
              <w:left w:val="nil"/>
              <w:bottom w:val="single" w:sz="4" w:space="0" w:color="auto"/>
              <w:right w:val="single" w:sz="4" w:space="0" w:color="auto"/>
            </w:tcBorders>
            <w:noWrap/>
            <w:vAlign w:val="center"/>
            <w:hideMark/>
          </w:tcPr>
          <w:p w14:paraId="074FB855" w14:textId="77777777" w:rsidR="00BF7E1C" w:rsidRPr="00BF7E1C" w:rsidRDefault="00BF7E1C" w:rsidP="00BF7E1C">
            <w:pPr>
              <w:spacing w:after="0" w:line="240" w:lineRule="auto"/>
              <w:jc w:val="right"/>
              <w:rPr>
                <w:rFonts w:ascii="Times New Roman" w:eastAsia="Times New Roman" w:hAnsi="Times New Roman" w:cs="Times New Roman"/>
                <w:sz w:val="20"/>
                <w:szCs w:val="20"/>
              </w:rPr>
            </w:pPr>
            <w:r w:rsidRPr="00BF7E1C">
              <w:rPr>
                <w:rFonts w:ascii="Times New Roman" w:eastAsia="Times New Roman" w:hAnsi="Times New Roman" w:cs="Times New Roman"/>
                <w:sz w:val="20"/>
                <w:szCs w:val="20"/>
              </w:rPr>
              <w:t>0</w:t>
            </w:r>
          </w:p>
        </w:tc>
      </w:tr>
    </w:tbl>
    <w:p w14:paraId="51AEFC90" w14:textId="77777777" w:rsidR="00BF7E1C" w:rsidRDefault="00BF7E1C" w:rsidP="00FE12BF">
      <w:pPr>
        <w:jc w:val="both"/>
        <w:rPr>
          <w:rFonts w:ascii="Times New Roman" w:hAnsi="Times New Roman" w:cs="Times New Roman"/>
          <w:sz w:val="24"/>
          <w:szCs w:val="24"/>
          <w:lang w:eastAsia="x-none"/>
        </w:rPr>
      </w:pPr>
    </w:p>
    <w:p w14:paraId="72B165F3" w14:textId="77777777" w:rsidR="00BF7E1C" w:rsidRPr="00FF25F3" w:rsidRDefault="00BF7E1C" w:rsidP="00BF7E1C">
      <w:pPr>
        <w:spacing w:after="148"/>
        <w:ind w:right="221" w:firstLine="708"/>
        <w:jc w:val="both"/>
        <w:rPr>
          <w:rFonts w:ascii="Times New Roman" w:hAnsi="Times New Roman" w:cs="Times New Roman"/>
          <w:sz w:val="24"/>
          <w:szCs w:val="24"/>
        </w:rPr>
      </w:pPr>
      <w:r w:rsidRPr="00FF25F3">
        <w:rPr>
          <w:rFonts w:ascii="Times New Roman" w:hAnsi="Times New Roman" w:cs="Times New Roman"/>
          <w:sz w:val="24"/>
          <w:szCs w:val="24"/>
        </w:rPr>
        <w:t xml:space="preserve">Поради липса на превишение на годишния бюджет за 2025 г. на основна група </w:t>
      </w:r>
      <w:r w:rsidRPr="00FF25F3">
        <w:rPr>
          <w:rFonts w:ascii="Times New Roman" w:hAnsi="Times New Roman"/>
          <w:sz w:val="24"/>
          <w:szCs w:val="24"/>
        </w:rPr>
        <w:t>“P”</w:t>
      </w:r>
      <w:r w:rsidRPr="00FF25F3">
        <w:rPr>
          <w:rFonts w:ascii="Times New Roman" w:hAnsi="Times New Roman" w:cs="Times New Roman"/>
          <w:sz w:val="24"/>
          <w:szCs w:val="24"/>
        </w:rPr>
        <w:t xml:space="preserve">, Механизмът за 2025 г. е неприложим спрямо лекарствените продукти и техните ПРУ, включени в основна група </w:t>
      </w:r>
      <w:r w:rsidRPr="00FF25F3">
        <w:rPr>
          <w:rFonts w:ascii="Times New Roman" w:hAnsi="Times New Roman"/>
          <w:sz w:val="24"/>
          <w:szCs w:val="24"/>
        </w:rPr>
        <w:t>“P”</w:t>
      </w:r>
      <w:r w:rsidRPr="00FF25F3">
        <w:rPr>
          <w:rFonts w:ascii="Times New Roman" w:hAnsi="Times New Roman" w:cs="Times New Roman"/>
          <w:sz w:val="24"/>
          <w:szCs w:val="24"/>
        </w:rPr>
        <w:t>.</w:t>
      </w:r>
    </w:p>
    <w:p w14:paraId="1AA10DD8" w14:textId="77777777" w:rsidR="00BF7E1C" w:rsidRPr="00FF25F3" w:rsidRDefault="00BF7E1C" w:rsidP="00BF7E1C">
      <w:pPr>
        <w:spacing w:after="148"/>
        <w:ind w:right="221"/>
        <w:jc w:val="both"/>
        <w:rPr>
          <w:rFonts w:ascii="Times New Roman" w:hAnsi="Times New Roman" w:cs="Times New Roman"/>
          <w:sz w:val="24"/>
          <w:szCs w:val="24"/>
        </w:rPr>
      </w:pPr>
      <w:r w:rsidRPr="00FF25F3">
        <w:rPr>
          <w:rFonts w:ascii="Times New Roman" w:hAnsi="Times New Roman" w:cs="Times New Roman"/>
          <w:sz w:val="24"/>
          <w:szCs w:val="24"/>
        </w:rPr>
        <w:tab/>
      </w:r>
      <w:r>
        <w:rPr>
          <w:rFonts w:ascii="Times New Roman" w:hAnsi="Times New Roman" w:cs="Times New Roman"/>
          <w:sz w:val="24"/>
          <w:szCs w:val="24"/>
        </w:rPr>
        <w:t>П</w:t>
      </w:r>
      <w:r w:rsidRPr="00FF25F3">
        <w:rPr>
          <w:rFonts w:ascii="Times New Roman" w:hAnsi="Times New Roman" w:cs="Times New Roman"/>
          <w:sz w:val="24"/>
          <w:szCs w:val="24"/>
        </w:rPr>
        <w:t>ромяна</w:t>
      </w:r>
      <w:r>
        <w:rPr>
          <w:rFonts w:ascii="Times New Roman" w:hAnsi="Times New Roman" w:cs="Times New Roman"/>
          <w:sz w:val="24"/>
          <w:szCs w:val="24"/>
        </w:rPr>
        <w:t>та</w:t>
      </w:r>
      <w:r w:rsidRPr="00FF25F3">
        <w:rPr>
          <w:rFonts w:ascii="Times New Roman" w:hAnsi="Times New Roman" w:cs="Times New Roman"/>
          <w:sz w:val="24"/>
          <w:szCs w:val="24"/>
        </w:rPr>
        <w:t xml:space="preserve"> </w:t>
      </w:r>
      <w:r w:rsidRPr="00FF25F3">
        <w:rPr>
          <w:rFonts w:ascii="Times New Roman" w:hAnsi="Times New Roman" w:cs="Times New Roman"/>
          <w:sz w:val="24"/>
          <w:szCs w:val="24"/>
          <w:lang w:val="en-US"/>
        </w:rPr>
        <w:t>(</w:t>
      </w:r>
      <w:r w:rsidRPr="00FF25F3">
        <w:rPr>
          <w:rFonts w:ascii="Times New Roman" w:hAnsi="Times New Roman" w:cs="Times New Roman"/>
          <w:sz w:val="24"/>
          <w:szCs w:val="24"/>
        </w:rPr>
        <w:t>намаление</w:t>
      </w:r>
      <w:r>
        <w:rPr>
          <w:rFonts w:ascii="Times New Roman" w:hAnsi="Times New Roman" w:cs="Times New Roman"/>
          <w:sz w:val="24"/>
          <w:szCs w:val="24"/>
        </w:rPr>
        <w:t>то</w:t>
      </w:r>
      <w:r w:rsidRPr="00FF25F3">
        <w:rPr>
          <w:rFonts w:ascii="Times New Roman" w:hAnsi="Times New Roman" w:cs="Times New Roman"/>
          <w:sz w:val="24"/>
          <w:szCs w:val="24"/>
          <w:lang w:val="en-US"/>
        </w:rPr>
        <w:t>)</w:t>
      </w:r>
      <w:r w:rsidRPr="00FF25F3">
        <w:rPr>
          <w:rFonts w:ascii="Times New Roman" w:hAnsi="Times New Roman" w:cs="Times New Roman"/>
          <w:sz w:val="24"/>
          <w:szCs w:val="24"/>
        </w:rPr>
        <w:t xml:space="preserve"> на размера на превишението на годишния бюджет за 2025 г. на лекарствените продукти от основна група „М“, </w:t>
      </w:r>
      <w:r>
        <w:rPr>
          <w:rFonts w:ascii="Times New Roman" w:hAnsi="Times New Roman" w:cs="Times New Roman"/>
          <w:sz w:val="24"/>
          <w:szCs w:val="24"/>
        </w:rPr>
        <w:t>ще се отрази при извършването на годишното изравняване по чл. 9 от Механизма за 2025 г.</w:t>
      </w:r>
    </w:p>
    <w:p w14:paraId="6966DB31" w14:textId="77777777" w:rsidR="00BF7E1C" w:rsidRDefault="00BF7E1C" w:rsidP="00FE12BF">
      <w:pPr>
        <w:jc w:val="both"/>
        <w:rPr>
          <w:rFonts w:ascii="Times New Roman" w:hAnsi="Times New Roman" w:cs="Times New Roman"/>
          <w:sz w:val="24"/>
          <w:szCs w:val="24"/>
          <w:lang w:eastAsia="x-none"/>
        </w:rPr>
      </w:pPr>
    </w:p>
    <w:p w14:paraId="492C9D8A" w14:textId="2E034806" w:rsidR="000D5355" w:rsidRDefault="00B05A4B" w:rsidP="000D5355">
      <w:pPr>
        <w:spacing w:after="148"/>
        <w:ind w:right="221"/>
        <w:jc w:val="center"/>
      </w:pPr>
      <w:r>
        <w:t>--------------------------------------------------------------------------------------------------------------------------------------------------</w:t>
      </w:r>
    </w:p>
    <w:p w14:paraId="705A83FE" w14:textId="680F0377" w:rsidR="00E52628" w:rsidRPr="00021676" w:rsidRDefault="00E52628" w:rsidP="005858E1">
      <w:pPr>
        <w:tabs>
          <w:tab w:val="left" w:pos="2835"/>
          <w:tab w:val="center" w:pos="4897"/>
          <w:tab w:val="center" w:pos="5259"/>
          <w:tab w:val="right" w:pos="9794"/>
        </w:tabs>
        <w:spacing w:after="3"/>
        <w:jc w:val="center"/>
        <w:rPr>
          <w:rFonts w:ascii="Times New Roman" w:eastAsia="Times New Roman" w:hAnsi="Times New Roman" w:cs="Times New Roman"/>
          <w:i/>
          <w:color w:val="auto"/>
          <w:sz w:val="14"/>
        </w:rPr>
      </w:pPr>
      <w:r w:rsidRPr="00021676">
        <w:rPr>
          <w:rFonts w:ascii="Times New Roman" w:eastAsia="Times New Roman" w:hAnsi="Times New Roman" w:cs="Times New Roman"/>
          <w:i/>
          <w:color w:val="auto"/>
          <w:sz w:val="14"/>
        </w:rPr>
        <w:t>класификация на информацията</w:t>
      </w:r>
    </w:p>
    <w:p w14:paraId="789AF1B7" w14:textId="226271A5" w:rsidR="00970781" w:rsidRPr="00021676" w:rsidRDefault="00E52628" w:rsidP="005858E1">
      <w:pPr>
        <w:spacing w:after="148"/>
        <w:ind w:right="221"/>
        <w:jc w:val="center"/>
        <w:rPr>
          <w:color w:val="auto"/>
        </w:rPr>
      </w:pPr>
      <w:r w:rsidRPr="00021676">
        <w:rPr>
          <w:rFonts w:ascii="Times New Roman" w:eastAsia="Times New Roman" w:hAnsi="Times New Roman" w:cs="Times New Roman"/>
          <w:i/>
          <w:color w:val="auto"/>
          <w:sz w:val="14"/>
        </w:rPr>
        <w:t xml:space="preserve">ниво </w:t>
      </w:r>
      <w:r w:rsidRPr="00021676">
        <w:rPr>
          <w:rFonts w:ascii="Times New Roman" w:eastAsia="Times New Roman" w:hAnsi="Times New Roman" w:cs="Times New Roman"/>
          <w:i/>
          <w:color w:val="auto"/>
          <w:sz w:val="14"/>
          <w:lang w:val="en-US"/>
        </w:rPr>
        <w:t>0</w:t>
      </w:r>
      <w:r w:rsidRPr="00021676">
        <w:rPr>
          <w:rFonts w:ascii="Times New Roman" w:eastAsia="Times New Roman" w:hAnsi="Times New Roman" w:cs="Times New Roman"/>
          <w:i/>
          <w:color w:val="auto"/>
          <w:sz w:val="14"/>
        </w:rPr>
        <w:t xml:space="preserve"> Т</w:t>
      </w:r>
      <w:r w:rsidRPr="00021676">
        <w:rPr>
          <w:rFonts w:ascii="Times New Roman" w:eastAsia="Times New Roman" w:hAnsi="Times New Roman" w:cs="Times New Roman"/>
          <w:i/>
          <w:color w:val="auto"/>
          <w:sz w:val="14"/>
          <w:lang w:val="en-US"/>
        </w:rPr>
        <w:t>LP – WHITE</w:t>
      </w:r>
    </w:p>
    <w:p w14:paraId="08D91C94" w14:textId="3CC4B22E" w:rsidR="00970781" w:rsidRPr="001B7DF0" w:rsidRDefault="0007313F" w:rsidP="005858E1">
      <w:pPr>
        <w:pStyle w:val="Heading1"/>
        <w:ind w:firstLine="709"/>
        <w:jc w:val="both"/>
        <w:rPr>
          <w:b w:val="0"/>
          <w:color w:val="auto"/>
          <w:sz w:val="16"/>
          <w:szCs w:val="16"/>
        </w:rPr>
      </w:pPr>
      <w:r w:rsidRPr="001B7DF0">
        <w:rPr>
          <w:b w:val="0"/>
          <w:bCs/>
          <w:color w:val="auto"/>
          <w:sz w:val="16"/>
          <w:szCs w:val="16"/>
        </w:rPr>
        <w:t>Документът е електронно създаден и подписан</w:t>
      </w:r>
      <w:r w:rsidR="00F54585" w:rsidRPr="001B7DF0">
        <w:rPr>
          <w:b w:val="0"/>
          <w:bCs/>
          <w:color w:val="auto"/>
          <w:sz w:val="16"/>
          <w:szCs w:val="16"/>
        </w:rPr>
        <w:t xml:space="preserve"> </w:t>
      </w:r>
      <w:r w:rsidRPr="001B7DF0">
        <w:rPr>
          <w:b w:val="0"/>
          <w:bCs/>
          <w:color w:val="auto"/>
          <w:sz w:val="16"/>
          <w:szCs w:val="16"/>
        </w:rPr>
        <w:t xml:space="preserve">съгласно действащите нормативни </w:t>
      </w:r>
      <w:r w:rsidR="005858E1" w:rsidRPr="001B7DF0">
        <w:rPr>
          <w:b w:val="0"/>
          <w:bCs/>
          <w:color w:val="auto"/>
          <w:sz w:val="16"/>
          <w:szCs w:val="16"/>
        </w:rPr>
        <w:t>изисквания. Национална</w:t>
      </w:r>
      <w:r w:rsidR="000D313F" w:rsidRPr="001B7DF0">
        <w:rPr>
          <w:b w:val="0"/>
          <w:bCs/>
          <w:color w:val="auto"/>
          <w:sz w:val="16"/>
          <w:szCs w:val="16"/>
        </w:rPr>
        <w:t xml:space="preserve"> здравноосигурителна каса обработва и защитава личните Ви данни, съобразно изискванията на Закона за защита на личните данни (ЗЗЛД) и Регламент (ЕС) 2016/679 на Европейския парламент и на Съвета от 27 април 2016 г.</w:t>
      </w:r>
      <w:r w:rsidR="005858E1" w:rsidRPr="001B7DF0">
        <w:rPr>
          <w:b w:val="0"/>
          <w:bCs/>
          <w:color w:val="auto"/>
          <w:sz w:val="16"/>
          <w:szCs w:val="16"/>
        </w:rPr>
        <w:t xml:space="preserve"> </w:t>
      </w:r>
      <w:r w:rsidR="000D313F" w:rsidRPr="001B7DF0">
        <w:rPr>
          <w:b w:val="0"/>
          <w:color w:val="auto"/>
        </w:rPr>
        <w:t xml:space="preserve">Повече подробности за ангажиментите на Национална здравноосигурителна каса, в качеството й на администратор на лични данни, можете да намерите на интернет адрес: </w:t>
      </w:r>
      <w:r w:rsidR="000D313F">
        <w:fldChar w:fldCharType="begin"/>
      </w:r>
      <w:r w:rsidR="000D313F">
        <w:instrText>HYPERLINK "http://www.nhif.bg"</w:instrText>
      </w:r>
      <w:r w:rsidR="000D313F">
        <w:fldChar w:fldCharType="separate"/>
      </w:r>
      <w:r w:rsidR="000D313F" w:rsidRPr="001B7DF0">
        <w:rPr>
          <w:rStyle w:val="Hyperlink"/>
          <w:b w:val="0"/>
          <w:color w:val="auto"/>
        </w:rPr>
        <w:t>www.</w:t>
      </w:r>
      <w:proofErr w:type="spellStart"/>
      <w:r w:rsidR="000D313F" w:rsidRPr="001B7DF0">
        <w:rPr>
          <w:rStyle w:val="Hyperlink"/>
          <w:b w:val="0"/>
          <w:color w:val="auto"/>
          <w:lang w:val="en-US"/>
        </w:rPr>
        <w:t>nhif</w:t>
      </w:r>
      <w:proofErr w:type="spellEnd"/>
      <w:r w:rsidR="000D313F" w:rsidRPr="001B7DF0">
        <w:rPr>
          <w:rStyle w:val="Hyperlink"/>
          <w:b w:val="0"/>
          <w:color w:val="auto"/>
        </w:rPr>
        <w:t>.bg</w:t>
      </w:r>
      <w:r w:rsidR="000D313F">
        <w:fldChar w:fldCharType="end"/>
      </w:r>
      <w:hyperlink r:id="rId8">
        <w:r w:rsidR="000D313F" w:rsidRPr="001B7DF0">
          <w:rPr>
            <w:rStyle w:val="Hyperlink"/>
            <w:b w:val="0"/>
            <w:color w:val="auto"/>
          </w:rPr>
          <w:t xml:space="preserve"> </w:t>
        </w:r>
      </w:hyperlink>
      <w:r w:rsidR="000D313F" w:rsidRPr="001B7DF0">
        <w:rPr>
          <w:b w:val="0"/>
          <w:color w:val="auto"/>
        </w:rPr>
        <w:t>в раздел за НЗОК</w:t>
      </w:r>
      <w:r w:rsidR="002B41D6" w:rsidRPr="001B7DF0">
        <w:rPr>
          <w:b w:val="0"/>
          <w:i w:val="0"/>
          <w:noProof/>
          <w:color w:val="auto"/>
          <w:sz w:val="14"/>
        </w:rPr>
        <mc:AlternateContent>
          <mc:Choice Requires="wps">
            <w:drawing>
              <wp:anchor distT="0" distB="0" distL="114300" distR="114300" simplePos="0" relativeHeight="251662336" behindDoc="0" locked="0" layoutInCell="1" allowOverlap="1" wp14:anchorId="27499D07" wp14:editId="5FE9D2F1">
                <wp:simplePos x="0" y="0"/>
                <wp:positionH relativeFrom="margin">
                  <wp:posOffset>885190</wp:posOffset>
                </wp:positionH>
                <wp:positionV relativeFrom="paragraph">
                  <wp:posOffset>7133590</wp:posOffset>
                </wp:positionV>
                <wp:extent cx="490537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49053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4DF9D9" id="Straight Connector 5"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9.7pt,561.7pt" to="455.95pt,5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" strokecolor="#4472c4 [3204]" strokeweight=".5pt">
                <v:stroke joinstyle="miter"/>
                <w10:wrap anchorx="margin"/>
              </v:line>
            </w:pict>
          </mc:Fallback>
        </mc:AlternateContent>
      </w:r>
      <w:r w:rsidR="005858E1" w:rsidRPr="001B7DF0">
        <w:rPr>
          <w:b w:val="0"/>
          <w:i w:val="0"/>
          <w:color w:val="auto"/>
        </w:rPr>
        <w:t>.</w:t>
      </w:r>
    </w:p>
    <w:sectPr w:rsidR="00970781" w:rsidRPr="001B7DF0" w:rsidSect="00D7201D">
      <w:pgSz w:w="11906" w:h="16838"/>
      <w:pgMar w:top="454" w:right="907" w:bottom="568" w:left="90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E2014"/>
    <w:multiLevelType w:val="hybridMultilevel"/>
    <w:tmpl w:val="7FC4ECEA"/>
    <w:lvl w:ilvl="0" w:tplc="A9C42E96">
      <w:start w:val="3"/>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 w15:restartNumberingAfterBreak="0">
    <w:nsid w:val="7BCA3F50"/>
    <w:multiLevelType w:val="hybridMultilevel"/>
    <w:tmpl w:val="E07EEB6A"/>
    <w:lvl w:ilvl="0" w:tplc="6FAED098">
      <w:start w:val="5"/>
      <w:numFmt w:val="bullet"/>
      <w:lvlText w:val="-"/>
      <w:lvlJc w:val="left"/>
      <w:pPr>
        <w:ind w:left="1065" w:hanging="360"/>
      </w:pPr>
      <w:rPr>
        <w:rFonts w:ascii="Times New Roman" w:eastAsia="Calibri" w:hAnsi="Times New Roman" w:cs="Times New Roman" w:hint="default"/>
      </w:rPr>
    </w:lvl>
    <w:lvl w:ilvl="1" w:tplc="04020003" w:tentative="1">
      <w:start w:val="1"/>
      <w:numFmt w:val="bullet"/>
      <w:lvlText w:val="o"/>
      <w:lvlJc w:val="left"/>
      <w:pPr>
        <w:ind w:left="1785" w:hanging="360"/>
      </w:pPr>
      <w:rPr>
        <w:rFonts w:ascii="Courier New" w:hAnsi="Courier New" w:cs="Courier New" w:hint="default"/>
      </w:rPr>
    </w:lvl>
    <w:lvl w:ilvl="2" w:tplc="04020005" w:tentative="1">
      <w:start w:val="1"/>
      <w:numFmt w:val="bullet"/>
      <w:lvlText w:val=""/>
      <w:lvlJc w:val="left"/>
      <w:pPr>
        <w:ind w:left="2505" w:hanging="360"/>
      </w:pPr>
      <w:rPr>
        <w:rFonts w:ascii="Wingdings" w:hAnsi="Wingdings" w:hint="default"/>
      </w:rPr>
    </w:lvl>
    <w:lvl w:ilvl="3" w:tplc="04020001" w:tentative="1">
      <w:start w:val="1"/>
      <w:numFmt w:val="bullet"/>
      <w:lvlText w:val=""/>
      <w:lvlJc w:val="left"/>
      <w:pPr>
        <w:ind w:left="3225" w:hanging="360"/>
      </w:pPr>
      <w:rPr>
        <w:rFonts w:ascii="Symbol" w:hAnsi="Symbol" w:hint="default"/>
      </w:rPr>
    </w:lvl>
    <w:lvl w:ilvl="4" w:tplc="04020003" w:tentative="1">
      <w:start w:val="1"/>
      <w:numFmt w:val="bullet"/>
      <w:lvlText w:val="o"/>
      <w:lvlJc w:val="left"/>
      <w:pPr>
        <w:ind w:left="3945" w:hanging="360"/>
      </w:pPr>
      <w:rPr>
        <w:rFonts w:ascii="Courier New" w:hAnsi="Courier New" w:cs="Courier New" w:hint="default"/>
      </w:rPr>
    </w:lvl>
    <w:lvl w:ilvl="5" w:tplc="04020005" w:tentative="1">
      <w:start w:val="1"/>
      <w:numFmt w:val="bullet"/>
      <w:lvlText w:val=""/>
      <w:lvlJc w:val="left"/>
      <w:pPr>
        <w:ind w:left="4665" w:hanging="360"/>
      </w:pPr>
      <w:rPr>
        <w:rFonts w:ascii="Wingdings" w:hAnsi="Wingdings" w:hint="default"/>
      </w:rPr>
    </w:lvl>
    <w:lvl w:ilvl="6" w:tplc="04020001" w:tentative="1">
      <w:start w:val="1"/>
      <w:numFmt w:val="bullet"/>
      <w:lvlText w:val=""/>
      <w:lvlJc w:val="left"/>
      <w:pPr>
        <w:ind w:left="5385" w:hanging="360"/>
      </w:pPr>
      <w:rPr>
        <w:rFonts w:ascii="Symbol" w:hAnsi="Symbol" w:hint="default"/>
      </w:rPr>
    </w:lvl>
    <w:lvl w:ilvl="7" w:tplc="04020003" w:tentative="1">
      <w:start w:val="1"/>
      <w:numFmt w:val="bullet"/>
      <w:lvlText w:val="o"/>
      <w:lvlJc w:val="left"/>
      <w:pPr>
        <w:ind w:left="6105" w:hanging="360"/>
      </w:pPr>
      <w:rPr>
        <w:rFonts w:ascii="Courier New" w:hAnsi="Courier New" w:cs="Courier New" w:hint="default"/>
      </w:rPr>
    </w:lvl>
    <w:lvl w:ilvl="8" w:tplc="04020005" w:tentative="1">
      <w:start w:val="1"/>
      <w:numFmt w:val="bullet"/>
      <w:lvlText w:val=""/>
      <w:lvlJc w:val="left"/>
      <w:pPr>
        <w:ind w:left="6825" w:hanging="360"/>
      </w:pPr>
      <w:rPr>
        <w:rFonts w:ascii="Wingdings" w:hAnsi="Wingdings" w:hint="default"/>
      </w:rPr>
    </w:lvl>
  </w:abstractNum>
  <w:num w:numId="1" w16cid:durableId="1975866629">
    <w:abstractNumId w:val="0"/>
  </w:num>
  <w:num w:numId="2" w16cid:durableId="1755856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781"/>
    <w:rsid w:val="00021676"/>
    <w:rsid w:val="0007313F"/>
    <w:rsid w:val="000A56E1"/>
    <w:rsid w:val="000C5750"/>
    <w:rsid w:val="000D3125"/>
    <w:rsid w:val="000D313F"/>
    <w:rsid w:val="000D5355"/>
    <w:rsid w:val="000E6C7A"/>
    <w:rsid w:val="00194D24"/>
    <w:rsid w:val="001B7DF0"/>
    <w:rsid w:val="001D4876"/>
    <w:rsid w:val="001E62D9"/>
    <w:rsid w:val="00203446"/>
    <w:rsid w:val="0020540F"/>
    <w:rsid w:val="002248F1"/>
    <w:rsid w:val="00227B3F"/>
    <w:rsid w:val="00243E78"/>
    <w:rsid w:val="002567A3"/>
    <w:rsid w:val="002959CC"/>
    <w:rsid w:val="002B41D6"/>
    <w:rsid w:val="002F1907"/>
    <w:rsid w:val="002F370B"/>
    <w:rsid w:val="00345ACC"/>
    <w:rsid w:val="00360B8D"/>
    <w:rsid w:val="00432CA0"/>
    <w:rsid w:val="00456B3F"/>
    <w:rsid w:val="004977B2"/>
    <w:rsid w:val="004F6341"/>
    <w:rsid w:val="0050639E"/>
    <w:rsid w:val="0053611B"/>
    <w:rsid w:val="005858E1"/>
    <w:rsid w:val="00591788"/>
    <w:rsid w:val="005C0057"/>
    <w:rsid w:val="005E0DDC"/>
    <w:rsid w:val="00650CC7"/>
    <w:rsid w:val="006617EB"/>
    <w:rsid w:val="00677CBB"/>
    <w:rsid w:val="006B3F66"/>
    <w:rsid w:val="00704F55"/>
    <w:rsid w:val="007223CE"/>
    <w:rsid w:val="00754AB5"/>
    <w:rsid w:val="00757D1D"/>
    <w:rsid w:val="00774CD9"/>
    <w:rsid w:val="007D5DFA"/>
    <w:rsid w:val="007F3FCC"/>
    <w:rsid w:val="00835570"/>
    <w:rsid w:val="00836954"/>
    <w:rsid w:val="008534C9"/>
    <w:rsid w:val="008F217D"/>
    <w:rsid w:val="00905C2F"/>
    <w:rsid w:val="00924A88"/>
    <w:rsid w:val="00965253"/>
    <w:rsid w:val="00970781"/>
    <w:rsid w:val="009963CE"/>
    <w:rsid w:val="009A1214"/>
    <w:rsid w:val="009A6C44"/>
    <w:rsid w:val="009E7BAF"/>
    <w:rsid w:val="009F610A"/>
    <w:rsid w:val="00A35C17"/>
    <w:rsid w:val="00A43B45"/>
    <w:rsid w:val="00A51A7E"/>
    <w:rsid w:val="00A53168"/>
    <w:rsid w:val="00A63AD9"/>
    <w:rsid w:val="00AA6D72"/>
    <w:rsid w:val="00B003BB"/>
    <w:rsid w:val="00B05A4B"/>
    <w:rsid w:val="00B707A9"/>
    <w:rsid w:val="00BA6857"/>
    <w:rsid w:val="00BB1076"/>
    <w:rsid w:val="00BC03D6"/>
    <w:rsid w:val="00BD6866"/>
    <w:rsid w:val="00BF7E1C"/>
    <w:rsid w:val="00C002BE"/>
    <w:rsid w:val="00C00B3F"/>
    <w:rsid w:val="00C018B3"/>
    <w:rsid w:val="00C270B2"/>
    <w:rsid w:val="00C961DF"/>
    <w:rsid w:val="00D20A1B"/>
    <w:rsid w:val="00D33A98"/>
    <w:rsid w:val="00D35ACD"/>
    <w:rsid w:val="00D7201D"/>
    <w:rsid w:val="00D83B67"/>
    <w:rsid w:val="00DB65C8"/>
    <w:rsid w:val="00E127C9"/>
    <w:rsid w:val="00E52628"/>
    <w:rsid w:val="00F0660A"/>
    <w:rsid w:val="00F54049"/>
    <w:rsid w:val="00F54585"/>
    <w:rsid w:val="00F56526"/>
    <w:rsid w:val="00F64F71"/>
    <w:rsid w:val="00F93E3F"/>
    <w:rsid w:val="00FE12BF"/>
    <w:rsid w:val="00FF25F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D589D"/>
  <w15:docId w15:val="{825B6387-B441-4276-8C1A-DD6A9CDFC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bg-BG" w:eastAsia="bg-B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36"/>
      <w:ind w:right="65"/>
      <w:jc w:val="right"/>
      <w:outlineLvl w:val="0"/>
    </w:pPr>
    <w:rPr>
      <w:rFonts w:ascii="Times New Roman" w:eastAsia="Times New Roman" w:hAnsi="Times New Roman" w:cs="Times New Roman"/>
      <w:b/>
      <w: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18"/>
    </w:rPr>
  </w:style>
  <w:style w:type="character" w:styleId="Hyperlink">
    <w:name w:val="Hyperlink"/>
    <w:rsid w:val="000D5355"/>
    <w:rPr>
      <w:color w:val="0000FF"/>
      <w:u w:val="single"/>
    </w:rPr>
  </w:style>
  <w:style w:type="character" w:styleId="UnresolvedMention">
    <w:name w:val="Unresolved Mention"/>
    <w:basedOn w:val="DefaultParagraphFont"/>
    <w:uiPriority w:val="99"/>
    <w:semiHidden/>
    <w:unhideWhenUsed/>
    <w:rsid w:val="000D313F"/>
    <w:rPr>
      <w:color w:val="605E5C"/>
      <w:shd w:val="clear" w:color="auto" w:fill="E1DFDD"/>
    </w:rPr>
  </w:style>
  <w:style w:type="paragraph" w:styleId="ListParagraph">
    <w:name w:val="List Paragraph"/>
    <w:basedOn w:val="Normal"/>
    <w:uiPriority w:val="34"/>
    <w:qFormat/>
    <w:rsid w:val="005361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nra.bg/" TargetMode="External"/><Relationship Id="rId3" Type="http://schemas.openxmlformats.org/officeDocument/2006/relationships/styles" Target="styles.xml"/><Relationship Id="rId7" Type="http://schemas.openxmlformats.org/officeDocument/2006/relationships/hyperlink" Target="http://www.nhif.b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47586-C589-43CB-9A80-92082C81A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1517</Words>
  <Characters>8649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Svilen Marinov</dc:creator>
  <cp:keywords/>
  <cp:lastModifiedBy>Стела Георгиева Борисова</cp:lastModifiedBy>
  <cp:revision>17</cp:revision>
  <dcterms:created xsi:type="dcterms:W3CDTF">2026-04-08T08:12:00Z</dcterms:created>
  <dcterms:modified xsi:type="dcterms:W3CDTF">2026-04-09T09:14:00Z</dcterms:modified>
</cp:coreProperties>
</file>