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49265" w14:textId="0F02BF96" w:rsidR="0069231C" w:rsidRPr="002269C3" w:rsidRDefault="0069231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</w:r>
      <w:r>
        <w:rPr>
          <w:bCs/>
          <w:i/>
          <w:iCs/>
          <w:lang w:val="en-US"/>
        </w:rPr>
        <w:tab/>
      </w:r>
      <w:r>
        <w:rPr>
          <w:bCs/>
          <w:i/>
          <w:iCs/>
        </w:rPr>
        <w:tab/>
      </w:r>
      <w:r w:rsidRPr="002269C3">
        <w:rPr>
          <w:rFonts w:ascii="Times New Roman" w:hAnsi="Times New Roman" w:cs="Times New Roman"/>
          <w:bCs/>
          <w:i/>
          <w:iCs/>
          <w:sz w:val="24"/>
          <w:szCs w:val="24"/>
        </w:rPr>
        <w:t>ПРОЕКТ!</w:t>
      </w:r>
    </w:p>
    <w:p w14:paraId="7406E61E" w14:textId="77777777" w:rsidR="0069231C" w:rsidRPr="0070255A" w:rsidRDefault="0069231C" w:rsidP="0070255A">
      <w:pPr>
        <w:spacing w:after="0"/>
        <w:rPr>
          <w:bCs/>
          <w:i/>
          <w:iCs/>
        </w:rPr>
      </w:pPr>
    </w:p>
    <w:p w14:paraId="191A97C9" w14:textId="77777777" w:rsidR="0069231C" w:rsidRPr="00E104B4" w:rsidRDefault="0069231C" w:rsidP="00702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4B4">
        <w:rPr>
          <w:rFonts w:ascii="Times New Roman" w:hAnsi="Times New Roman" w:cs="Times New Roman"/>
          <w:b/>
          <w:sz w:val="24"/>
          <w:szCs w:val="24"/>
        </w:rPr>
        <w:t>Механизъм</w:t>
      </w:r>
    </w:p>
    <w:p w14:paraId="66CB8873" w14:textId="396C2482" w:rsidR="0069231C" w:rsidRPr="00E104B4" w:rsidRDefault="0069231C" w:rsidP="00702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4B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104B4" w:rsidRPr="00E104B4">
        <w:rPr>
          <w:rFonts w:ascii="Times New Roman" w:hAnsi="Times New Roman" w:cs="Times New Roman"/>
          <w:b/>
          <w:sz w:val="24"/>
          <w:szCs w:val="24"/>
        </w:rPr>
        <w:t xml:space="preserve">изменение и </w:t>
      </w:r>
      <w:r w:rsidRPr="00E104B4">
        <w:rPr>
          <w:rFonts w:ascii="Times New Roman" w:hAnsi="Times New Roman" w:cs="Times New Roman"/>
          <w:b/>
          <w:sz w:val="24"/>
          <w:szCs w:val="24"/>
        </w:rPr>
        <w:t>допълнение на</w:t>
      </w:r>
    </w:p>
    <w:p w14:paraId="4E33B2A0" w14:textId="0550475B" w:rsidR="0070255A" w:rsidRDefault="0069231C" w:rsidP="0070255A">
      <w:pPr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E104B4">
        <w:rPr>
          <w:rFonts w:ascii="Times New Roman" w:hAnsi="Times New Roman" w:cs="Times New Roman"/>
          <w:b/>
          <w:sz w:val="24"/>
          <w:szCs w:val="24"/>
        </w:rPr>
        <w:t xml:space="preserve">Механизма, </w:t>
      </w:r>
      <w:r w:rsidRPr="00E104B4">
        <w:rPr>
          <w:rFonts w:ascii="Times New Roman" w:eastAsia="Times New Roman" w:hAnsi="Times New Roman" w:cs="Times New Roman"/>
          <w:b/>
          <w:sz w:val="24"/>
          <w:szCs w:val="24"/>
        </w:rPr>
        <w:t>гарантиращ предвидимост и устойчивост на бюджета на НЗОК за 2024 г. за лекарствените продукти, заплащани напълно или частично със средства от бюджета на НЗОК</w:t>
      </w:r>
      <w:r w:rsidRPr="00E104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104B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(</w:t>
      </w:r>
      <w:r w:rsidRPr="00E104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приет с </w:t>
      </w:r>
      <w:bookmarkStart w:id="0" w:name="_Hlk157182470"/>
      <w:r w:rsidRPr="00E104B4">
        <w:rPr>
          <w:rFonts w:ascii="Times New Roman" w:hAnsi="Times New Roman" w:cs="Times New Roman"/>
          <w:b/>
          <w:sz w:val="24"/>
          <w:szCs w:val="24"/>
        </w:rPr>
        <w:t>Решение № РД-НС-04-19/3</w:t>
      </w:r>
      <w:r w:rsidRPr="00E104B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E104B4">
        <w:rPr>
          <w:rFonts w:ascii="Times New Roman" w:hAnsi="Times New Roman" w:cs="Times New Roman"/>
          <w:b/>
          <w:sz w:val="24"/>
          <w:szCs w:val="24"/>
        </w:rPr>
        <w:t>.01.2024 г.</w:t>
      </w:r>
      <w:bookmarkEnd w:id="0"/>
      <w:r w:rsidR="0070255A" w:rsidRPr="00E104B4">
        <w:rPr>
          <w:rFonts w:ascii="Times New Roman" w:hAnsi="Times New Roman"/>
          <w:b/>
          <w:sz w:val="24"/>
          <w:szCs w:val="24"/>
          <w:lang w:val="x-none"/>
        </w:rPr>
        <w:t xml:space="preserve"> обн., ДВ, бр. 12 от 9.02.2024 г., в сила от 1.01.2024 г.)</w:t>
      </w:r>
    </w:p>
    <w:p w14:paraId="09367661" w14:textId="77777777" w:rsidR="00E104B4" w:rsidRPr="00E104B4" w:rsidRDefault="00E104B4" w:rsidP="0070255A">
      <w:pPr>
        <w:jc w:val="center"/>
        <w:rPr>
          <w:b/>
        </w:rPr>
      </w:pPr>
    </w:p>
    <w:p w14:paraId="08B57197" w14:textId="52924ADB" w:rsidR="00CB3D09" w:rsidRDefault="008C562F" w:rsidP="006F1E35">
      <w:pPr>
        <w:autoSpaceDE w:val="0"/>
        <w:autoSpaceDN w:val="0"/>
        <w:adjustRightInd w:val="0"/>
        <w:spacing w:after="0" w:line="276" w:lineRule="auto"/>
        <w:ind w:firstLine="36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62F">
        <w:rPr>
          <w:rFonts w:ascii="Times New Roman" w:hAnsi="Times New Roman" w:cs="Times New Roman"/>
          <w:b/>
          <w:bCs/>
          <w:sz w:val="24"/>
          <w:szCs w:val="24"/>
        </w:rPr>
        <w:t xml:space="preserve">§1. </w:t>
      </w:r>
      <w:r w:rsidR="00CB3D09">
        <w:rPr>
          <w:rFonts w:ascii="Times New Roman" w:hAnsi="Times New Roman" w:cs="Times New Roman"/>
          <w:b/>
          <w:bCs/>
          <w:sz w:val="24"/>
          <w:szCs w:val="24"/>
        </w:rPr>
        <w:t xml:space="preserve">В чл.2, ал.3, текстът в скобите, </w:t>
      </w:r>
      <w:r w:rsidR="00D00F06">
        <w:rPr>
          <w:rFonts w:ascii="Times New Roman" w:hAnsi="Times New Roman" w:cs="Times New Roman"/>
          <w:b/>
          <w:bCs/>
          <w:sz w:val="24"/>
          <w:szCs w:val="24"/>
        </w:rPr>
        <w:t xml:space="preserve">накрая, </w:t>
      </w:r>
      <w:r w:rsidR="00CB3D09">
        <w:rPr>
          <w:rFonts w:ascii="Times New Roman" w:hAnsi="Times New Roman" w:cs="Times New Roman"/>
          <w:b/>
          <w:bCs/>
          <w:sz w:val="24"/>
          <w:szCs w:val="24"/>
        </w:rPr>
        <w:t xml:space="preserve">след „2024 г.“ се допълва с „и/или при решение на Надзорния съвет на НЗОК по </w:t>
      </w:r>
      <w:r w:rsidR="00CB3D09" w:rsidRPr="00650564">
        <w:rPr>
          <w:rFonts w:ascii="Times New Roman" w:hAnsi="Times New Roman" w:cs="Times New Roman"/>
          <w:b/>
          <w:bCs/>
        </w:rPr>
        <w:t xml:space="preserve">§ 1, ал.1 от ПЗР на ЗБНЗОК за 2024 г.  за използване на </w:t>
      </w:r>
      <w:r w:rsidR="00CB3D09" w:rsidRPr="00650564">
        <w:rPr>
          <w:rFonts w:ascii="Times New Roman" w:hAnsi="Times New Roman" w:cs="Times New Roman"/>
          <w:b/>
          <w:bCs/>
          <w:sz w:val="24"/>
          <w:szCs w:val="24"/>
        </w:rPr>
        <w:t>средства от</w:t>
      </w:r>
      <w:r w:rsidR="00CB3D09" w:rsidRPr="009779A2">
        <w:rPr>
          <w:rFonts w:ascii="Times New Roman" w:hAnsi="Times New Roman" w:cs="Times New Roman"/>
          <w:b/>
          <w:bCs/>
          <w:sz w:val="24"/>
          <w:szCs w:val="24"/>
        </w:rPr>
        <w:t xml:space="preserve"> преизпълнението на приходите от здравноосигурителни вноски</w:t>
      </w:r>
      <w:r w:rsidR="00CB3D09">
        <w:rPr>
          <w:rFonts w:ascii="Times New Roman" w:hAnsi="Times New Roman" w:cs="Times New Roman"/>
          <w:b/>
          <w:bCs/>
          <w:sz w:val="24"/>
          <w:szCs w:val="24"/>
        </w:rPr>
        <w:t>“;</w:t>
      </w:r>
    </w:p>
    <w:p w14:paraId="639E8CD2" w14:textId="77777777" w:rsidR="003836FF" w:rsidRDefault="003836FF" w:rsidP="006F1E35">
      <w:pPr>
        <w:autoSpaceDE w:val="0"/>
        <w:autoSpaceDN w:val="0"/>
        <w:adjustRightInd w:val="0"/>
        <w:spacing w:after="0" w:line="276" w:lineRule="auto"/>
        <w:ind w:firstLine="36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3B472" w14:textId="1A199CBC" w:rsidR="00025FF3" w:rsidRPr="008D11C8" w:rsidRDefault="00CB3D09" w:rsidP="00CB3D09">
      <w:pPr>
        <w:autoSpaceDE w:val="0"/>
        <w:autoSpaceDN w:val="0"/>
        <w:adjustRightInd w:val="0"/>
        <w:spacing w:after="0" w:line="276" w:lineRule="auto"/>
        <w:ind w:firstLine="360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1C8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="008C562F" w:rsidRPr="008D11C8">
        <w:rPr>
          <w:rFonts w:ascii="Times New Roman" w:hAnsi="Times New Roman" w:cs="Times New Roman"/>
          <w:b/>
          <w:bCs/>
          <w:sz w:val="24"/>
          <w:szCs w:val="24"/>
        </w:rPr>
        <w:t>В чл.5</w:t>
      </w:r>
      <w:r w:rsidR="00025FF3" w:rsidRPr="008D11C8">
        <w:rPr>
          <w:rFonts w:ascii="Times New Roman" w:hAnsi="Times New Roman" w:cs="Times New Roman"/>
          <w:b/>
          <w:bCs/>
          <w:sz w:val="24"/>
          <w:szCs w:val="24"/>
        </w:rPr>
        <w:t xml:space="preserve"> се правят следните изменения:</w:t>
      </w:r>
    </w:p>
    <w:p w14:paraId="6E5700E7" w14:textId="18A04B59" w:rsidR="005C2E0C" w:rsidRPr="008D11C8" w:rsidRDefault="00025FF3" w:rsidP="009779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1C8">
        <w:rPr>
          <w:rFonts w:ascii="Times New Roman" w:hAnsi="Times New Roman" w:cs="Times New Roman"/>
          <w:b/>
          <w:bCs/>
          <w:sz w:val="24"/>
          <w:szCs w:val="24"/>
        </w:rPr>
        <w:t>Алинея 4</w:t>
      </w:r>
      <w:r w:rsidR="008C562F" w:rsidRPr="008D11C8">
        <w:rPr>
          <w:rFonts w:ascii="Times New Roman" w:hAnsi="Times New Roman" w:cs="Times New Roman"/>
          <w:b/>
          <w:bCs/>
          <w:sz w:val="24"/>
          <w:szCs w:val="24"/>
        </w:rPr>
        <w:t xml:space="preserve"> се изменя така:</w:t>
      </w:r>
    </w:p>
    <w:p w14:paraId="3B6E20AE" w14:textId="7D5A260B" w:rsidR="00025FF3" w:rsidRPr="008D11C8" w:rsidRDefault="008C562F" w:rsidP="009779A2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1C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8D11C8">
        <w:rPr>
          <w:rFonts w:ascii="Times New Roman" w:hAnsi="Times New Roman" w:cs="Times New Roman"/>
          <w:b/>
          <w:bCs/>
          <w:sz w:val="24"/>
          <w:szCs w:val="24"/>
          <w:lang w:val="en-US"/>
        </w:rPr>
        <w:t>(5)</w:t>
      </w:r>
      <w:r w:rsidRPr="008D11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5FF3" w:rsidRPr="008D11C8">
        <w:rPr>
          <w:rFonts w:ascii="Times New Roman" w:hAnsi="Times New Roman" w:cs="Times New Roman"/>
          <w:b/>
          <w:bCs/>
          <w:sz w:val="24"/>
          <w:szCs w:val="24"/>
        </w:rPr>
        <w:t xml:space="preserve">При решение на Надзорния съвет на НЗОК по </w:t>
      </w:r>
      <w:hyperlink r:id="rId6" w:history="1">
        <w:r w:rsidR="00025FF3" w:rsidRPr="008D11C8">
          <w:rPr>
            <w:rFonts w:ascii="Times New Roman" w:hAnsi="Times New Roman" w:cs="Times New Roman"/>
            <w:b/>
            <w:bCs/>
            <w:sz w:val="24"/>
            <w:szCs w:val="24"/>
          </w:rPr>
          <w:t>чл. 15, ал. 1, т. 7</w:t>
        </w:r>
      </w:hyperlink>
      <w:r w:rsidR="00025FF3" w:rsidRPr="008D11C8">
        <w:rPr>
          <w:rFonts w:ascii="Times New Roman" w:hAnsi="Times New Roman" w:cs="Times New Roman"/>
          <w:b/>
          <w:bCs/>
          <w:sz w:val="24"/>
          <w:szCs w:val="24"/>
        </w:rPr>
        <w:t xml:space="preserve"> от ЗЗО за използване на средства от резерва на НЗОК </w:t>
      </w:r>
      <w:r w:rsidR="00D00F06" w:rsidRPr="008D11C8">
        <w:rPr>
          <w:rFonts w:ascii="Times New Roman" w:hAnsi="Times New Roman" w:cs="Times New Roman"/>
          <w:b/>
          <w:bCs/>
          <w:sz w:val="24"/>
          <w:szCs w:val="24"/>
        </w:rPr>
        <w:t>и/</w:t>
      </w:r>
      <w:r w:rsidR="009779A2" w:rsidRPr="008D11C8">
        <w:rPr>
          <w:rFonts w:ascii="Times New Roman" w:hAnsi="Times New Roman" w:cs="Times New Roman"/>
          <w:b/>
          <w:bCs/>
          <w:sz w:val="24"/>
          <w:szCs w:val="24"/>
        </w:rPr>
        <w:t xml:space="preserve">или при решение на Надзорния съвет на НЗОК по § 1, ал.1 от ПЗР на ЗБНЗОК за 2024 г.  </w:t>
      </w:r>
      <w:bookmarkStart w:id="1" w:name="_Hlk185247937"/>
      <w:r w:rsidR="009779A2" w:rsidRPr="008D11C8">
        <w:rPr>
          <w:rFonts w:ascii="Times New Roman" w:hAnsi="Times New Roman" w:cs="Times New Roman"/>
          <w:b/>
          <w:bCs/>
          <w:sz w:val="24"/>
          <w:szCs w:val="24"/>
        </w:rPr>
        <w:t>за изп</w:t>
      </w:r>
      <w:r w:rsidR="00650564" w:rsidRPr="008D11C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779A2" w:rsidRPr="008D11C8">
        <w:rPr>
          <w:rFonts w:ascii="Times New Roman" w:hAnsi="Times New Roman" w:cs="Times New Roman"/>
          <w:b/>
          <w:bCs/>
          <w:sz w:val="24"/>
          <w:szCs w:val="24"/>
        </w:rPr>
        <w:t xml:space="preserve">лзване на средства от преизпълнението на приходите от здравноосигурителни вноски </w:t>
      </w:r>
      <w:bookmarkEnd w:id="1"/>
      <w:r w:rsidR="00025FF3" w:rsidRPr="008D11C8">
        <w:rPr>
          <w:rFonts w:ascii="Times New Roman" w:hAnsi="Times New Roman" w:cs="Times New Roman"/>
          <w:b/>
          <w:bCs/>
          <w:sz w:val="24"/>
          <w:szCs w:val="24"/>
        </w:rPr>
        <w:t xml:space="preserve">за основна група, за тази основна </w:t>
      </w:r>
      <w:r w:rsidR="0089551A" w:rsidRPr="008D11C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025FF3" w:rsidRPr="008D11C8">
        <w:rPr>
          <w:rFonts w:ascii="Times New Roman" w:hAnsi="Times New Roman" w:cs="Times New Roman"/>
          <w:b/>
          <w:bCs/>
          <w:sz w:val="24"/>
          <w:szCs w:val="24"/>
        </w:rPr>
        <w:t>рупа лекарствени продукти се формира нов, актуализиран годишен бюджет за 2024 г., като сбор от:</w:t>
      </w:r>
    </w:p>
    <w:p w14:paraId="0AE87EBE" w14:textId="77777777" w:rsidR="00025FF3" w:rsidRPr="009779A2" w:rsidRDefault="00025FF3" w:rsidP="009779A2">
      <w:pPr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85000893"/>
      <w:r w:rsidRPr="008D11C8">
        <w:rPr>
          <w:rFonts w:ascii="Times New Roman" w:hAnsi="Times New Roman" w:cs="Times New Roman"/>
          <w:b/>
          <w:bCs/>
          <w:sz w:val="24"/>
          <w:szCs w:val="24"/>
        </w:rPr>
        <w:t>средствата за здравноосигурителни</w:t>
      </w:r>
      <w:r w:rsidRPr="009779A2">
        <w:rPr>
          <w:rFonts w:ascii="Times New Roman" w:hAnsi="Times New Roman" w:cs="Times New Roman"/>
          <w:b/>
          <w:bCs/>
          <w:sz w:val="24"/>
          <w:szCs w:val="24"/>
        </w:rPr>
        <w:t xml:space="preserve"> плащания за основната група (определени в ЗБНЗОК за 2024 г./в решението на Надзорния съвет на НЗОК за извършване на компенсирани промени), </w:t>
      </w:r>
    </w:p>
    <w:p w14:paraId="1452F619" w14:textId="77777777" w:rsidR="00025FF3" w:rsidRPr="009779A2" w:rsidRDefault="00025FF3" w:rsidP="009779A2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9A2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</w:p>
    <w:p w14:paraId="2F019CEA" w14:textId="26EF3393" w:rsidR="00025FF3" w:rsidRPr="003836FF" w:rsidRDefault="00025FF3" w:rsidP="003836FF">
      <w:pPr>
        <w:pStyle w:val="ListParagraph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9A2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определените средства от резерва </w:t>
      </w:r>
      <w:r w:rsidR="00650564">
        <w:rPr>
          <w:rFonts w:ascii="Times New Roman" w:hAnsi="Times New Roman" w:cs="Times New Roman"/>
          <w:b/>
          <w:bCs/>
          <w:sz w:val="24"/>
          <w:szCs w:val="24"/>
        </w:rPr>
        <w:t xml:space="preserve"> на НЗОК и/или определените средства от преизпълнението на приходите от здравноосигурителни вноски</w:t>
      </w:r>
      <w:r w:rsidRPr="009779A2">
        <w:rPr>
          <w:rFonts w:ascii="Times New Roman" w:hAnsi="Times New Roman" w:cs="Times New Roman"/>
          <w:b/>
          <w:bCs/>
          <w:sz w:val="24"/>
          <w:szCs w:val="24"/>
        </w:rPr>
        <w:t>, за тази основна група.</w:t>
      </w:r>
      <w:r w:rsidR="00650564">
        <w:rPr>
          <w:rFonts w:ascii="Times New Roman" w:hAnsi="Times New Roman" w:cs="Times New Roman"/>
          <w:b/>
          <w:bCs/>
          <w:sz w:val="24"/>
          <w:szCs w:val="24"/>
        </w:rPr>
        <w:t>“;</w:t>
      </w:r>
    </w:p>
    <w:bookmarkEnd w:id="2"/>
    <w:p w14:paraId="47BF000F" w14:textId="2CDF4A74" w:rsidR="008C562F" w:rsidRPr="00025FF3" w:rsidRDefault="00025FF3" w:rsidP="00025FF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13" w:after="57" w:line="271" w:lineRule="auto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Алинея 5 се отменя.</w:t>
      </w:r>
    </w:p>
    <w:p w14:paraId="35357A4B" w14:textId="77777777" w:rsidR="001003B7" w:rsidRDefault="001003B7" w:rsidP="005F3F18">
      <w:pPr>
        <w:autoSpaceDE w:val="0"/>
        <w:autoSpaceDN w:val="0"/>
        <w:adjustRightInd w:val="0"/>
        <w:spacing w:after="0" w:line="271" w:lineRule="auto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D4B56" w14:textId="412519FE" w:rsidR="005C2E0C" w:rsidRPr="00A53285" w:rsidRDefault="005C2E0C" w:rsidP="001003B7">
      <w:pPr>
        <w:autoSpaceDE w:val="0"/>
        <w:autoSpaceDN w:val="0"/>
        <w:adjustRightInd w:val="0"/>
        <w:spacing w:after="0" w:line="271" w:lineRule="auto"/>
        <w:ind w:firstLine="36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28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B3D09" w:rsidRPr="00A532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532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F3F18" w:rsidRPr="00A53285">
        <w:rPr>
          <w:rFonts w:ascii="Times New Roman" w:hAnsi="Times New Roman" w:cs="Times New Roman"/>
          <w:b/>
          <w:bCs/>
          <w:sz w:val="24"/>
          <w:szCs w:val="24"/>
        </w:rPr>
        <w:t>Раздел „Заключителни разпоредби“ се изменя и допълва така:</w:t>
      </w:r>
    </w:p>
    <w:p w14:paraId="0542038C" w14:textId="7572D2EF" w:rsidR="005C2E0C" w:rsidRPr="00352041" w:rsidRDefault="005F3F18" w:rsidP="005F3F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sz w:val="24"/>
          <w:szCs w:val="24"/>
        </w:rPr>
        <w:t>Заглавието на раздела се изменя „Преходни и заключителни разпоредби“;</w:t>
      </w:r>
    </w:p>
    <w:p w14:paraId="64FDCD7E" w14:textId="2F1F0541" w:rsidR="005F3F18" w:rsidRPr="00352041" w:rsidRDefault="005F3F18" w:rsidP="005F3F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sz w:val="24"/>
          <w:szCs w:val="24"/>
        </w:rPr>
        <w:t>Създават се параграфи 4, 5</w:t>
      </w:r>
      <w:r w:rsidR="00E95BE7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95BE7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и 7</w:t>
      </w:r>
      <w:r w:rsidR="0089551A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4186F5" w14:textId="3EB4DF63" w:rsidR="00F65FA3" w:rsidRPr="00352041" w:rsidRDefault="005F3F18" w:rsidP="00727072">
      <w:pPr>
        <w:autoSpaceDE w:val="0"/>
        <w:autoSpaceDN w:val="0"/>
        <w:adjustRightInd w:val="0"/>
        <w:spacing w:after="0" w:line="271" w:lineRule="auto"/>
        <w:ind w:firstLine="36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B0AE6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§4. </w:t>
      </w:r>
      <w:r w:rsidR="002D1C97" w:rsidRPr="003520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(1) </w:t>
      </w:r>
      <w:r w:rsidR="00727072" w:rsidRPr="00352041">
        <w:rPr>
          <w:rFonts w:ascii="Times New Roman" w:hAnsi="Times New Roman" w:cs="Times New Roman"/>
          <w:b/>
          <w:bCs/>
          <w:sz w:val="24"/>
          <w:szCs w:val="24"/>
        </w:rPr>
        <w:t>Във връзка с настъпили промени от 1.04.2024 г. в Позитивния лекарствен списък по чл.262, ал.6, т.</w:t>
      </w:r>
      <w:r w:rsidR="00D00F06" w:rsidRPr="003520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7072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от ЗЛПХМ, изразяващи се в увеличаване на 100% на нивото на заплащане </w:t>
      </w:r>
      <w:r w:rsidR="0001482E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от НЗОК </w:t>
      </w:r>
      <w:r w:rsidR="00727072" w:rsidRPr="00352041">
        <w:rPr>
          <w:rFonts w:ascii="Times New Roman" w:hAnsi="Times New Roman" w:cs="Times New Roman"/>
          <w:b/>
          <w:bCs/>
          <w:sz w:val="24"/>
          <w:szCs w:val="24"/>
        </w:rPr>
        <w:t>на лекарствени продукти</w:t>
      </w:r>
      <w:r w:rsidR="00D00F06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за домашно лечение на територията на страната</w:t>
      </w:r>
      <w:r w:rsidR="00727072" w:rsidRPr="003520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00F06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заплащани от НЗОК,</w:t>
      </w:r>
      <w:r w:rsidR="00727072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предназначени за лечение на сърдечно-съдови заболявания, </w:t>
      </w:r>
      <w:r w:rsidR="00D00F06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които продукти са </w:t>
      </w:r>
      <w:r w:rsidR="00727072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включени в основна група </w:t>
      </w:r>
      <w:r w:rsidR="003836FF" w:rsidRPr="00352041">
        <w:rPr>
          <w:rFonts w:ascii="Times New Roman" w:hAnsi="Times New Roman" w:cs="Times New Roman"/>
          <w:b/>
          <w:bCs/>
          <w:sz w:val="24"/>
          <w:szCs w:val="24"/>
        </w:rPr>
        <w:t>„Б“</w:t>
      </w:r>
      <w:r w:rsidR="00F65FA3" w:rsidRPr="003520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2A6D8B" w14:textId="27079246" w:rsidR="00F65FA3" w:rsidRPr="00352041" w:rsidRDefault="00F65FA3" w:rsidP="002672F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bookmarkStart w:id="3" w:name="_Hlk185003764"/>
      <w:r w:rsidR="000174AD" w:rsidRPr="00352041">
        <w:rPr>
          <w:rFonts w:ascii="Times New Roman" w:hAnsi="Times New Roman" w:cs="Times New Roman"/>
          <w:b/>
          <w:bCs/>
          <w:sz w:val="24"/>
          <w:szCs w:val="24"/>
        </w:rPr>
        <w:t>условния</w:t>
      </w:r>
      <w:r w:rsidR="002672F3" w:rsidRPr="00352041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0174AD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бюджет </w:t>
      </w:r>
      <w:bookmarkStart w:id="4" w:name="_Hlk185004810"/>
      <w:r w:rsidR="008B29E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за основна група „Б“, 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8B29E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всяко от посочените тримесечия – за 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>второ</w:t>
      </w:r>
      <w:r w:rsidR="002672F3" w:rsidRPr="00352041">
        <w:rPr>
          <w:rFonts w:ascii="Times New Roman" w:hAnsi="Times New Roman" w:cs="Times New Roman"/>
          <w:b/>
          <w:bCs/>
          <w:sz w:val="24"/>
          <w:szCs w:val="24"/>
        </w:rPr>
        <w:t>то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>, за трето</w:t>
      </w:r>
      <w:r w:rsidR="002672F3" w:rsidRPr="00352041">
        <w:rPr>
          <w:rFonts w:ascii="Times New Roman" w:hAnsi="Times New Roman" w:cs="Times New Roman"/>
          <w:b/>
          <w:bCs/>
          <w:sz w:val="24"/>
          <w:szCs w:val="24"/>
        </w:rPr>
        <w:t>то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и за четвърто</w:t>
      </w:r>
      <w:r w:rsidR="002672F3" w:rsidRPr="00352041">
        <w:rPr>
          <w:rFonts w:ascii="Times New Roman" w:hAnsi="Times New Roman" w:cs="Times New Roman"/>
          <w:b/>
          <w:bCs/>
          <w:sz w:val="24"/>
          <w:szCs w:val="24"/>
        </w:rPr>
        <w:t>то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4"/>
      <w:r w:rsidRPr="00352041">
        <w:rPr>
          <w:rFonts w:ascii="Times New Roman" w:hAnsi="Times New Roman" w:cs="Times New Roman"/>
          <w:b/>
          <w:bCs/>
          <w:sz w:val="24"/>
          <w:szCs w:val="24"/>
        </w:rPr>
        <w:t>тримесечие на 2024 г.</w:t>
      </w:r>
      <w:r w:rsidR="008B29E0" w:rsidRPr="003520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174AD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"/>
      <w:r w:rsidR="00643728" w:rsidRPr="00352041">
        <w:rPr>
          <w:rFonts w:ascii="Times New Roman" w:hAnsi="Times New Roman" w:cs="Times New Roman"/>
          <w:b/>
          <w:bCs/>
          <w:sz w:val="24"/>
          <w:szCs w:val="24"/>
        </w:rPr>
        <w:t>се формира като сбор от:</w:t>
      </w:r>
    </w:p>
    <w:p w14:paraId="36FBDCA5" w14:textId="00C209DA" w:rsidR="006F1E35" w:rsidRPr="00352041" w:rsidRDefault="00643728" w:rsidP="00727072">
      <w:pPr>
        <w:autoSpaceDE w:val="0"/>
        <w:autoSpaceDN w:val="0"/>
        <w:adjustRightInd w:val="0"/>
        <w:spacing w:after="0" w:line="271" w:lineRule="auto"/>
        <w:ind w:firstLine="36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а</w:t>
      </w:r>
      <w:r w:rsidRPr="003520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условния бюджет </w:t>
      </w:r>
      <w:r w:rsidR="002672F3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за второто, за третото и за четвъртото 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>тримесечие на 2024 г.</w:t>
      </w:r>
      <w:r w:rsidR="006F1E35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, в размер на ¼ от определените средства в чл. 1, ал. 2, ред 1.1.3.5.3.2. от ЗБНЗОК за 2024 г. </w:t>
      </w:r>
    </w:p>
    <w:p w14:paraId="301031C5" w14:textId="77777777" w:rsidR="006F1E35" w:rsidRPr="00352041" w:rsidRDefault="006F1E35" w:rsidP="002672F3">
      <w:pPr>
        <w:autoSpaceDE w:val="0"/>
        <w:autoSpaceDN w:val="0"/>
        <w:adjustRightInd w:val="0"/>
        <w:spacing w:after="0" w:line="271" w:lineRule="auto"/>
        <w:ind w:firstLine="708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7B2D4F9B" w14:textId="20F45F0F" w:rsidR="002672F3" w:rsidRPr="00352041" w:rsidRDefault="006F1E35" w:rsidP="002672F3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3520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r w:rsidR="003836FF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2F3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определените с решения на Надзорния съвет на НЗОК </w:t>
      </w:r>
      <w:r w:rsidR="00544E10" w:rsidRPr="00352041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2672F3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2672F3" w:rsidRPr="00352041">
          <w:rPr>
            <w:rFonts w:ascii="Times New Roman" w:hAnsi="Times New Roman" w:cs="Times New Roman"/>
            <w:b/>
            <w:bCs/>
            <w:sz w:val="24"/>
            <w:szCs w:val="24"/>
          </w:rPr>
          <w:t>чл. 15, ал. 1, т. 7</w:t>
        </w:r>
      </w:hyperlink>
      <w:r w:rsidR="002672F3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от ЗЗО и </w:t>
      </w:r>
      <w:r w:rsidR="00544E1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2672F3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§ 1, ал.1 от ПЗР на ЗБНЗОК за 2024 г. </w:t>
      </w:r>
      <w:r w:rsidR="00D00F06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допълнителни </w:t>
      </w:r>
      <w:r w:rsidR="002672F3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средства за основна група „Б“, </w:t>
      </w:r>
      <w:r w:rsidR="008B29E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за съответното тримесечие - </w:t>
      </w:r>
      <w:r w:rsidR="002672F3" w:rsidRPr="00352041">
        <w:rPr>
          <w:rFonts w:ascii="Times New Roman" w:hAnsi="Times New Roman" w:cs="Times New Roman"/>
          <w:b/>
          <w:bCs/>
          <w:sz w:val="24"/>
          <w:szCs w:val="24"/>
        </w:rPr>
        <w:t>за второто, за третото и за четвъртото тримесечие на 2024 г.</w:t>
      </w:r>
      <w:r w:rsidR="00BC1D05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, които средства </w:t>
      </w:r>
      <w:r w:rsidR="00B40F5F" w:rsidRPr="00352041">
        <w:rPr>
          <w:rFonts w:ascii="Times New Roman" w:hAnsi="Times New Roman" w:cs="Times New Roman"/>
          <w:b/>
          <w:bCs/>
          <w:sz w:val="24"/>
          <w:szCs w:val="24"/>
        </w:rPr>
        <w:t>са предоставени</w:t>
      </w:r>
      <w:r w:rsidR="00BC1D05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целево, </w:t>
      </w:r>
      <w:r w:rsidR="00B40F5F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само </w:t>
      </w:r>
      <w:r w:rsidR="00BC1D05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за компенсиране на </w:t>
      </w:r>
      <w:r w:rsidR="00B40F5F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годишна база на </w:t>
      </w:r>
      <w:r w:rsidR="00BC1D05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ръста </w:t>
      </w:r>
      <w:r w:rsidR="00B40F5F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на разходите за лекарствените продукти за лечение на сърдечно-съдови заболявания с увеличено </w:t>
      </w:r>
      <w:r w:rsidR="00474995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на 100% </w:t>
      </w:r>
      <w:r w:rsidR="00B40F5F" w:rsidRPr="00352041">
        <w:rPr>
          <w:rFonts w:ascii="Times New Roman" w:hAnsi="Times New Roman" w:cs="Times New Roman"/>
          <w:b/>
          <w:bCs/>
          <w:sz w:val="24"/>
          <w:szCs w:val="24"/>
        </w:rPr>
        <w:t>ниво на заплащане</w:t>
      </w:r>
      <w:r w:rsidR="0001482E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от НЗОК</w:t>
      </w:r>
      <w:r w:rsidR="00B40F5F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от 1.04.2024 г.;</w:t>
      </w:r>
      <w:r w:rsidR="00BC1D05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457ECB" w14:textId="4B96280E" w:rsidR="005F3F18" w:rsidRPr="00352041" w:rsidRDefault="002672F3" w:rsidP="002672F3">
      <w:pPr>
        <w:autoSpaceDE w:val="0"/>
        <w:autoSpaceDN w:val="0"/>
        <w:adjustRightInd w:val="0"/>
        <w:spacing w:after="0" w:line="271" w:lineRule="auto"/>
        <w:ind w:firstLine="36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3920B2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годишният бюджет за 2024 г. </w:t>
      </w:r>
      <w:r w:rsidR="00A0608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основна група „Б“ </w:t>
      </w:r>
      <w:r w:rsidR="003920B2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се </w:t>
      </w:r>
      <w:r w:rsidR="00A53285" w:rsidRPr="00352041">
        <w:rPr>
          <w:rFonts w:ascii="Times New Roman" w:hAnsi="Times New Roman" w:cs="Times New Roman"/>
          <w:b/>
          <w:bCs/>
          <w:sz w:val="24"/>
          <w:szCs w:val="24"/>
        </w:rPr>
        <w:t>формира съгласно чл.5, ал.4, като сбор от:</w:t>
      </w:r>
    </w:p>
    <w:p w14:paraId="19AA09AD" w14:textId="317116D4" w:rsidR="00A53285" w:rsidRPr="00352041" w:rsidRDefault="00D00F06" w:rsidP="00D00F06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52041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3285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средствата за здравноосигурителни плащания </w:t>
      </w:r>
      <w:bookmarkStart w:id="5" w:name="_Hlk185001533"/>
      <w:r w:rsidR="00A53285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за основна група „Б“ </w:t>
      </w:r>
      <w:bookmarkEnd w:id="5"/>
      <w:r w:rsidR="00A53285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(определени в чл. 1, ал. 2, ред 1.1.3.5.3.2. от ЗБНЗОК за 2024 г. ) </w:t>
      </w:r>
    </w:p>
    <w:p w14:paraId="2B41F582" w14:textId="77777777" w:rsidR="00A53285" w:rsidRPr="00352041" w:rsidRDefault="00A53285" w:rsidP="00A53285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</w:p>
    <w:p w14:paraId="3EF8B413" w14:textId="5AE40C38" w:rsidR="00B40F5F" w:rsidRPr="00352041" w:rsidRDefault="00D00F06" w:rsidP="00B40F5F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3520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общия</w:t>
      </w:r>
      <w:r w:rsidR="00532C51" w:rsidRPr="00352041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размер на </w:t>
      </w:r>
      <w:r w:rsidR="00A53285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определените </w:t>
      </w:r>
      <w:r w:rsidR="00A0608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с решения на Надзорния съвет на НЗОК </w:t>
      </w:r>
      <w:r w:rsidR="00544E10" w:rsidRPr="00352041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532C51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="00A06080" w:rsidRPr="00352041">
          <w:rPr>
            <w:rFonts w:ascii="Times New Roman" w:hAnsi="Times New Roman" w:cs="Times New Roman"/>
            <w:b/>
            <w:bCs/>
            <w:sz w:val="24"/>
            <w:szCs w:val="24"/>
          </w:rPr>
          <w:t>чл. 15, ал. 1, т. 7</w:t>
        </w:r>
      </w:hyperlink>
      <w:r w:rsidR="00A0608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от ЗЗО и </w:t>
      </w:r>
      <w:r w:rsidR="00544E1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A0608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§ 1, ал.1 от ПЗР на ЗБНЗОК за 2024 г. </w:t>
      </w:r>
      <w:r w:rsidR="00511FCA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допълнителни </w:t>
      </w:r>
      <w:r w:rsidR="00A53285" w:rsidRPr="00352041">
        <w:rPr>
          <w:rFonts w:ascii="Times New Roman" w:hAnsi="Times New Roman" w:cs="Times New Roman"/>
          <w:b/>
          <w:bCs/>
          <w:sz w:val="24"/>
          <w:szCs w:val="24"/>
        </w:rPr>
        <w:t>средства</w:t>
      </w:r>
      <w:r w:rsidR="00A0608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за основна група „Б</w:t>
      </w:r>
      <w:r w:rsidR="00A53285" w:rsidRPr="0035204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0608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, за второ, 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A0608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трето и 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A06080" w:rsidRPr="00352041">
        <w:rPr>
          <w:rFonts w:ascii="Times New Roman" w:hAnsi="Times New Roman" w:cs="Times New Roman"/>
          <w:b/>
          <w:bCs/>
          <w:sz w:val="24"/>
          <w:szCs w:val="24"/>
        </w:rPr>
        <w:t>четвърто тримесечие на 2024 г.</w:t>
      </w:r>
      <w:r w:rsidR="00B40F5F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, които средства са предоставени целево, само за компенсиране на годишна база на ръста на разходите за лекарствените продукти за лечение на сърдечно-съдови заболявания с увеличено </w:t>
      </w:r>
      <w:r w:rsidR="00474995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на 100% </w:t>
      </w:r>
      <w:r w:rsidR="00B40F5F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ниво на заплащане </w:t>
      </w:r>
      <w:r w:rsidR="0001482E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от НЗОК </w:t>
      </w:r>
      <w:r w:rsidR="00B40F5F" w:rsidRPr="00352041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="00A237D4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1.04.2024 г.</w:t>
      </w:r>
    </w:p>
    <w:p w14:paraId="41BF67C6" w14:textId="1716ECE4" w:rsidR="00A237D4" w:rsidRPr="00352041" w:rsidRDefault="00D23F84" w:rsidP="008B2D9A">
      <w:pPr>
        <w:autoSpaceDE w:val="0"/>
        <w:autoSpaceDN w:val="0"/>
        <w:adjustRightInd w:val="0"/>
        <w:spacing w:after="0" w:line="271" w:lineRule="auto"/>
        <w:ind w:firstLine="36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85002472"/>
      <w:r w:rsidRPr="003520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D1C97" w:rsidRPr="00352041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2D1C97" w:rsidRPr="0035204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D1C97" w:rsidRPr="003520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bookmarkEnd w:id="6"/>
      <w:r w:rsidR="00A237D4" w:rsidRPr="00352041">
        <w:rPr>
          <w:rFonts w:ascii="Times New Roman" w:hAnsi="Times New Roman" w:cs="Times New Roman"/>
          <w:b/>
          <w:bCs/>
          <w:sz w:val="24"/>
          <w:szCs w:val="24"/>
        </w:rPr>
        <w:t>Текущо, з</w:t>
      </w:r>
      <w:r w:rsidR="008B29E0" w:rsidRPr="00352041">
        <w:rPr>
          <w:rFonts w:ascii="Times New Roman" w:hAnsi="Times New Roman" w:cs="Times New Roman"/>
          <w:b/>
          <w:bCs/>
          <w:sz w:val="24"/>
          <w:szCs w:val="24"/>
        </w:rPr>
        <w:t>а всяко от посочените тримесечия – за второто, за третото и за че</w:t>
      </w:r>
      <w:r w:rsidR="00A237D4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твъртото тримесечие на 2024 г., определените с решения на Надзорния съвет на НЗОК по </w:t>
      </w:r>
      <w:hyperlink r:id="rId9" w:history="1">
        <w:r w:rsidR="00A237D4" w:rsidRPr="00352041">
          <w:rPr>
            <w:rFonts w:ascii="Times New Roman" w:hAnsi="Times New Roman" w:cs="Times New Roman"/>
            <w:b/>
            <w:bCs/>
            <w:sz w:val="24"/>
            <w:szCs w:val="24"/>
          </w:rPr>
          <w:t>чл. 15, ал. 1, т. 7</w:t>
        </w:r>
      </w:hyperlink>
      <w:r w:rsidR="00A237D4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от ЗЗО и по § 1, ал.1 от ПЗР на ЗБНЗОК за 2024 г. допълнителни средства за основна група „Б“ се ползват по общия ред, предвиден в Механизма за 2024 г., </w:t>
      </w:r>
      <w:r w:rsidR="00544E10" w:rsidRPr="00352041">
        <w:rPr>
          <w:rFonts w:ascii="Times New Roman" w:hAnsi="Times New Roman" w:cs="Times New Roman"/>
          <w:b/>
          <w:bCs/>
          <w:sz w:val="24"/>
          <w:szCs w:val="24"/>
        </w:rPr>
        <w:t>заедно с условния бюджет за основна група „Б“ за съответното тримесечие на 2024 г. В този случай допълнителните средства</w:t>
      </w:r>
      <w:r w:rsidR="00A237D4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4E1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за тримесечието </w:t>
      </w:r>
      <w:r w:rsidR="008B2D9A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временно, до извършване на годишното изравняване за цялата 2024 г., се </w:t>
      </w:r>
      <w:r w:rsidR="005712D8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използват за </w:t>
      </w:r>
      <w:r w:rsidR="008B2D9A" w:rsidRPr="00352041">
        <w:rPr>
          <w:rFonts w:ascii="Times New Roman" w:hAnsi="Times New Roman" w:cs="Times New Roman"/>
          <w:b/>
          <w:bCs/>
          <w:sz w:val="24"/>
          <w:szCs w:val="24"/>
        </w:rPr>
        <w:t>компенсира</w:t>
      </w:r>
      <w:r w:rsidR="005712D8" w:rsidRPr="00352041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="008B2D9A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ръста на разходите през съответното тримесечие за всички лекарствени продукти от основна група „Б“, а не само </w:t>
      </w:r>
      <w:r w:rsidR="00A237D4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на лекарствените продукти за лечение на сърдечно-съдови заболявания с увеличено на 100% ниво на заплащане от </w:t>
      </w:r>
      <w:r w:rsidR="0001482E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НЗОК от </w:t>
      </w:r>
      <w:r w:rsidR="00A237D4" w:rsidRPr="00352041">
        <w:rPr>
          <w:rFonts w:ascii="Times New Roman" w:hAnsi="Times New Roman" w:cs="Times New Roman"/>
          <w:b/>
          <w:bCs/>
          <w:sz w:val="24"/>
          <w:szCs w:val="24"/>
        </w:rPr>
        <w:t>1.04.2024 г.</w:t>
      </w:r>
    </w:p>
    <w:p w14:paraId="61786921" w14:textId="2C4098F5" w:rsidR="00A237D4" w:rsidRPr="00352041" w:rsidRDefault="00A237D4" w:rsidP="00A237D4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52041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На годишна база, за цялата 2024 г., общия размер на определените с решения на Надзорния съвет на НЗОК по </w:t>
      </w:r>
      <w:hyperlink r:id="rId10" w:history="1">
        <w:r w:rsidRPr="00352041">
          <w:rPr>
            <w:rFonts w:ascii="Times New Roman" w:hAnsi="Times New Roman" w:cs="Times New Roman"/>
            <w:b/>
            <w:bCs/>
            <w:sz w:val="24"/>
            <w:szCs w:val="24"/>
          </w:rPr>
          <w:t>чл. 15, ал. 1, т. 7</w:t>
        </w:r>
      </w:hyperlink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от ЗЗО и по § 1, ал.1 от ПЗР на ЗБНЗОК за 2024 г. допълнителни средства за основна група „Б“, за второ, за трето и за четвърто тримесечие на 2024 г., се използва целево, само за компенсиране на годишна база на ръста на разходите за лекарствените продукти за лечение на сърдечно-съдови заболявания с увеличено на 100% ниво на заплащане от 1.04.2024 г.</w:t>
      </w:r>
    </w:p>
    <w:p w14:paraId="5754E321" w14:textId="432A26C3" w:rsidR="00176EC2" w:rsidRPr="00352041" w:rsidRDefault="00342079" w:rsidP="00342079">
      <w:pPr>
        <w:autoSpaceDE w:val="0"/>
        <w:autoSpaceDN w:val="0"/>
        <w:adjustRightInd w:val="0"/>
        <w:spacing w:after="0" w:line="271" w:lineRule="auto"/>
        <w:ind w:firstLine="36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sz w:val="24"/>
          <w:szCs w:val="24"/>
        </w:rPr>
        <w:t>§5.</w:t>
      </w:r>
      <w:r w:rsidRPr="003520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52041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За всяко от посочените тримесечия – за второто, за третото и за четвъртото тримесечие на 2024 г. </w:t>
      </w:r>
      <w:r w:rsidR="008B29E0" w:rsidRPr="00352041">
        <w:rPr>
          <w:rFonts w:ascii="Times New Roman" w:hAnsi="Times New Roman" w:cs="Times New Roman"/>
          <w:b/>
          <w:bCs/>
          <w:sz w:val="24"/>
          <w:szCs w:val="24"/>
        </w:rPr>
        <w:t>Механизмът за 2024 г. се прилага</w:t>
      </w:r>
      <w:r w:rsidR="00815BD2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спрямо основна група „Б“</w:t>
      </w:r>
      <w:r w:rsidR="008B29E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, като се изчислят нетните разходи на НЗОК за 2024 г. за всички лекарствени продукти, включени в </w:t>
      </w:r>
      <w:r w:rsidR="00F91EC0" w:rsidRPr="00352041">
        <w:rPr>
          <w:rFonts w:ascii="Times New Roman" w:hAnsi="Times New Roman" w:cs="Times New Roman"/>
          <w:b/>
          <w:bCs/>
          <w:sz w:val="24"/>
          <w:szCs w:val="24"/>
        </w:rPr>
        <w:t>тази основна група</w:t>
      </w:r>
      <w:r w:rsidR="008B29E0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29E0" w:rsidRPr="0035204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8B29E0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съобразно данните от ИИС на НЗОК за </w:t>
      </w:r>
      <w:r w:rsidR="008B29E0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разходите на НЗОК за лекарствените продукти от група „Б“ за </w:t>
      </w:r>
      <w:r w:rsidR="00050D7E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съответното тримесечие на </w:t>
      </w:r>
      <w:r w:rsidR="008B29E0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2024г.</w:t>
      </w:r>
      <w:r w:rsidR="008B29E0" w:rsidRPr="0035204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</w:t>
      </w:r>
      <w:r w:rsidR="008B29E0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се съпоставят с</w:t>
      </w:r>
      <w:r w:rsidR="00176EC2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ъс съответния</w:t>
      </w:r>
      <w:r w:rsidR="008B29E0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6EC2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тримесечен </w:t>
      </w:r>
      <w:r w:rsidR="008B29E0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бюджет за 2024 г. за </w:t>
      </w:r>
      <w:r w:rsidR="00F91EC0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същата </w:t>
      </w:r>
      <w:r w:rsidR="008B29E0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основна група, формиран съгласно </w:t>
      </w:r>
      <w:r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§4, </w:t>
      </w:r>
      <w:r w:rsidR="008B29E0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ал.1</w:t>
      </w:r>
      <w:r w:rsidR="00176EC2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т.1</w:t>
      </w:r>
      <w:r w:rsidR="008B29E0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176EC2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При превишение по смисъла на чл.6, ал.2, т.6, </w:t>
      </w:r>
      <w:r w:rsidR="00511FCA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изречение второ, </w:t>
      </w:r>
      <w:r w:rsidR="00B40F5F" w:rsidRPr="00352041">
        <w:rPr>
          <w:rFonts w:ascii="Times New Roman" w:hAnsi="Times New Roman" w:cs="Times New Roman"/>
          <w:b/>
          <w:bCs/>
          <w:sz w:val="24"/>
          <w:szCs w:val="24"/>
        </w:rPr>
        <w:t>за съответното тримесечие</w:t>
      </w:r>
      <w:r w:rsidR="008B2D9A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на 2024 г.</w:t>
      </w:r>
      <w:r w:rsidR="00B40F5F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76EC2" w:rsidRPr="00352041">
        <w:rPr>
          <w:rFonts w:ascii="Times New Roman" w:hAnsi="Times New Roman" w:cs="Times New Roman"/>
          <w:b/>
          <w:bCs/>
          <w:sz w:val="24"/>
          <w:szCs w:val="24"/>
        </w:rPr>
        <w:t>Механизмът</w:t>
      </w:r>
      <w:r w:rsidR="00511FCA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за 2024 г. се задейства и се прилага по общия ред, предвиден в същия.</w:t>
      </w:r>
    </w:p>
    <w:p w14:paraId="00597FF9" w14:textId="7C801790" w:rsidR="0041166D" w:rsidRPr="00352041" w:rsidRDefault="00511FCA" w:rsidP="00474995">
      <w:pPr>
        <w:autoSpaceDE w:val="0"/>
        <w:autoSpaceDN w:val="0"/>
        <w:adjustRightInd w:val="0"/>
        <w:spacing w:after="0" w:line="271" w:lineRule="auto"/>
        <w:ind w:firstLine="36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B29E0" w:rsidRPr="00352041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342079" w:rsidRPr="0035204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29E0" w:rsidRPr="00352041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Н</w:t>
      </w:r>
      <w:r w:rsidR="00DC6757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а годишна база, за цялата 2024 г., </w:t>
      </w:r>
      <w:r w:rsidR="00F91EC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при извършване на годишното </w:t>
      </w:r>
      <w:r w:rsidR="0041166D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изчисляване и </w:t>
      </w:r>
      <w:r w:rsidR="00F91EC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изравняване </w:t>
      </w:r>
      <w:r w:rsidR="0041166D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на дължимите суми </w:t>
      </w:r>
      <w:r w:rsidR="00F91EC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в срок до края на първото тримесечие на 2025 г., </w:t>
      </w:r>
      <w:r w:rsidR="00DC6757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Механизмът за 2024 г. се </w:t>
      </w:r>
      <w:r w:rsidR="00591C58" w:rsidRPr="00352041">
        <w:rPr>
          <w:rFonts w:ascii="Times New Roman" w:hAnsi="Times New Roman" w:cs="Times New Roman"/>
          <w:b/>
          <w:bCs/>
          <w:sz w:val="24"/>
          <w:szCs w:val="24"/>
        </w:rPr>
        <w:t>прилага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спрямо основна група „Б“</w:t>
      </w:r>
      <w:r w:rsidR="00591C58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, като се </w:t>
      </w:r>
      <w:r w:rsidR="002D1C97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изчислят </w:t>
      </w:r>
      <w:r w:rsidR="00591C58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нетните разходи на НЗОК за 2024 г. за всички лекарствени продукти, включени в </w:t>
      </w:r>
      <w:r w:rsidR="00F91EC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тази </w:t>
      </w:r>
      <w:r w:rsidR="00591C58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основна група </w:t>
      </w:r>
      <w:r w:rsidR="00591C58" w:rsidRPr="0035204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591C58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съобразно окончателните данни от ИИС на НЗОК за годишните разходи на НЗОК за </w:t>
      </w:r>
      <w:r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лекарствените продукти от група „Б“ </w:t>
      </w:r>
      <w:r w:rsidR="00591C58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календарната </w:t>
      </w:r>
      <w:r w:rsidR="00591C58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2024г.</w:t>
      </w:r>
      <w:r w:rsidR="00591C58" w:rsidRPr="0035204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</w:t>
      </w:r>
      <w:r w:rsidR="00591C58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="002D1C97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 съпоставят с </w:t>
      </w:r>
      <w:r w:rsidR="00591C58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годишният бюджет за 2024 г. за </w:t>
      </w:r>
      <w:r w:rsidR="00F91EC0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същата </w:t>
      </w:r>
      <w:r w:rsidR="00591C58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 група, формиран съгласно</w:t>
      </w:r>
      <w:r w:rsidR="00342079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§4,</w:t>
      </w:r>
      <w:r w:rsidR="00591C58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1C97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ал.1</w:t>
      </w:r>
      <w:r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т.2</w:t>
      </w:r>
      <w:r w:rsidR="00591C58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40F5F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B1B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дали е налице превишение по смисъла на чл.6, ал.2, т.6, изречение второ, се прилагат </w:t>
      </w:r>
      <w:r w:rsidR="008F6B1B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§6 и §7.</w:t>
      </w:r>
    </w:p>
    <w:p w14:paraId="124989AE" w14:textId="5914EF4A" w:rsidR="0041166D" w:rsidRPr="00352041" w:rsidRDefault="0041166D" w:rsidP="00474995">
      <w:pPr>
        <w:autoSpaceDE w:val="0"/>
        <w:autoSpaceDN w:val="0"/>
        <w:adjustRightInd w:val="0"/>
        <w:spacing w:after="0" w:line="271" w:lineRule="auto"/>
        <w:ind w:firstLine="36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342079" w:rsidRPr="0035204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520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r w:rsidR="004F12C6" w:rsidRPr="00352041">
        <w:rPr>
          <w:rFonts w:ascii="Times New Roman" w:hAnsi="Times New Roman" w:cs="Times New Roman"/>
          <w:b/>
          <w:bCs/>
          <w:sz w:val="24"/>
          <w:szCs w:val="24"/>
        </w:rPr>
        <w:t>При извършване на годишното изчисляване и изравняване по ал.</w:t>
      </w:r>
      <w:r w:rsidR="00342079" w:rsidRPr="0035204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F12C6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за основна група „</w:t>
      </w:r>
      <w:proofErr w:type="gramStart"/>
      <w:r w:rsidR="004F12C6" w:rsidRPr="00352041">
        <w:rPr>
          <w:rFonts w:ascii="Times New Roman" w:hAnsi="Times New Roman" w:cs="Times New Roman"/>
          <w:b/>
          <w:bCs/>
          <w:sz w:val="24"/>
          <w:szCs w:val="24"/>
        </w:rPr>
        <w:t>Б“</w:t>
      </w:r>
      <w:proofErr w:type="gramEnd"/>
      <w:r w:rsidR="004F12C6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24B0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на годишна база, за календарната 2024 г. </w:t>
      </w:r>
      <w:r w:rsidR="00024B00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Механизмът за 2024 г. се прилага за основна група „Б“ при условията на §6</w:t>
      </w:r>
      <w:r w:rsidR="0032326F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r w:rsidR="008F6B1B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32326F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024B00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>с цел:</w:t>
      </w:r>
    </w:p>
    <w:p w14:paraId="41CE5758" w14:textId="076D7A4C" w:rsidR="004F12C6" w:rsidRPr="00352041" w:rsidRDefault="0041166D" w:rsidP="004F12C6">
      <w:pPr>
        <w:autoSpaceDE w:val="0"/>
        <w:autoSpaceDN w:val="0"/>
        <w:adjustRightInd w:val="0"/>
        <w:spacing w:after="0" w:line="271" w:lineRule="auto"/>
        <w:ind w:firstLine="36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74995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установяване на </w:t>
      </w:r>
      <w:r w:rsidR="00474995" w:rsidRPr="00352041">
        <w:rPr>
          <w:rFonts w:ascii="Times New Roman" w:hAnsi="Times New Roman" w:cs="Times New Roman"/>
          <w:b/>
          <w:bCs/>
          <w:sz w:val="24"/>
          <w:szCs w:val="24"/>
        </w:rPr>
        <w:t>наличието и размера на</w:t>
      </w:r>
      <w:r w:rsidR="00B40F5F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окончателно годишно </w:t>
      </w:r>
      <w:r w:rsidR="00B40F5F" w:rsidRPr="00352041">
        <w:rPr>
          <w:rFonts w:ascii="Times New Roman" w:hAnsi="Times New Roman" w:cs="Times New Roman"/>
          <w:b/>
          <w:bCs/>
          <w:sz w:val="24"/>
          <w:szCs w:val="24"/>
        </w:rPr>
        <w:t>превишение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>, за календарната 2024 г.</w:t>
      </w:r>
      <w:r w:rsidR="004F12C6" w:rsidRPr="0035204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ABE4A2E" w14:textId="2863299E" w:rsidR="004F12C6" w:rsidRPr="00352041" w:rsidRDefault="00B40F5F" w:rsidP="004F12C6">
      <w:pPr>
        <w:autoSpaceDE w:val="0"/>
        <w:autoSpaceDN w:val="0"/>
        <w:adjustRightInd w:val="0"/>
        <w:spacing w:after="0" w:line="271" w:lineRule="auto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7" w:name="_Hlk184649291"/>
      <w:r w:rsidR="004F12C6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61AF3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използване </w:t>
      </w:r>
      <w:r w:rsidR="00024B0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на общия размер на определените с решения на Надзорния съвет на НЗОК </w:t>
      </w:r>
      <w:r w:rsidR="00A61AF3" w:rsidRPr="00352041">
        <w:rPr>
          <w:rFonts w:ascii="Times New Roman" w:hAnsi="Times New Roman" w:cs="Times New Roman"/>
          <w:b/>
          <w:bCs/>
          <w:sz w:val="24"/>
          <w:szCs w:val="24"/>
        </w:rPr>
        <w:t>на основание</w:t>
      </w:r>
      <w:r w:rsidR="00024B0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1" w:history="1">
        <w:r w:rsidR="00024B00" w:rsidRPr="00352041">
          <w:rPr>
            <w:rFonts w:ascii="Times New Roman" w:hAnsi="Times New Roman" w:cs="Times New Roman"/>
            <w:b/>
            <w:bCs/>
            <w:sz w:val="24"/>
            <w:szCs w:val="24"/>
          </w:rPr>
          <w:t>чл. 15, ал. 1, т. 7</w:t>
        </w:r>
      </w:hyperlink>
      <w:r w:rsidR="00024B00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от ЗЗО и § 1, ал.1 от ПЗР на ЗБНЗОК за 2024 г. допълнителни средства за основна група „Б“, за второ, за трето и за четвърто тримесечие на 2024 г., само за </w:t>
      </w: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>компенсиране на увеличението на нетните разходи за лекарствени</w:t>
      </w:r>
      <w:r w:rsidR="004F12C6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те</w:t>
      </w: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продукти за сърдечно-съдови заболявания с увеличено </w:t>
      </w:r>
      <w:r w:rsidR="00474995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100% </w:t>
      </w: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ниво на </w:t>
      </w:r>
      <w:r w:rsidR="004F12C6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заплащане от 01.04.2024г.;</w:t>
      </w:r>
    </w:p>
    <w:p w14:paraId="1C109F99" w14:textId="6D23999C" w:rsidR="00024B00" w:rsidRPr="00352041" w:rsidRDefault="004F12C6" w:rsidP="00024B00">
      <w:pPr>
        <w:autoSpaceDE w:val="0"/>
        <w:autoSpaceDN w:val="0"/>
        <w:adjustRightInd w:val="0"/>
        <w:spacing w:after="0" w:line="271" w:lineRule="auto"/>
        <w:ind w:firstLine="36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024B00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преизчисляване, съобразно условието по т.2, и </w:t>
      </w: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определяне на окончателно дължимите от </w:t>
      </w:r>
      <w:r w:rsidR="00024B00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отделните </w:t>
      </w: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>ПРУ суми по Механизма за 2024 г. за лекарствените им продукти</w:t>
      </w:r>
      <w:r w:rsidR="00D23F84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024B00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включени в основна група „Б“</w:t>
      </w:r>
      <w:r w:rsidR="00C65C8E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както за ПРУ, които притежават разрешения за употреба на лекарствени продукти, които не са с повишено на 100% ниво на реимбурсация, така и за ПРУ, които са притежатели на разрешенията за употреба на такива продукти</w:t>
      </w:r>
      <w:r w:rsidR="00D23F84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04995F2" w14:textId="5B69E6BD" w:rsidR="00C65C8E" w:rsidRPr="00352041" w:rsidRDefault="00024B00" w:rsidP="00024B00">
      <w:pPr>
        <w:autoSpaceDE w:val="0"/>
        <w:autoSpaceDN w:val="0"/>
        <w:adjustRightInd w:val="0"/>
        <w:spacing w:after="0" w:line="271" w:lineRule="auto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§6. </w:t>
      </w:r>
      <w:r w:rsidR="00976419" w:rsidRPr="0035204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976419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76419" w:rsidRPr="0035204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</w:t>
      </w:r>
      <w:r w:rsidR="00AD1868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При</w:t>
      </w: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годишното изчисляване </w:t>
      </w:r>
      <w:r w:rsidR="00C65C8E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изравняване </w:t>
      </w: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>на дължимите суми по Механизма</w:t>
      </w:r>
      <w:r w:rsidR="00AD1868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2024 г.</w:t>
      </w:r>
      <w:r w:rsidR="00C65C8E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BE6880A" w14:textId="77777777" w:rsidR="00AD1868" w:rsidRPr="00352041" w:rsidRDefault="00024B00" w:rsidP="00C65C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1" w:lineRule="auto"/>
        <w:ind w:left="0" w:firstLine="36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лекарствените продукти </w:t>
      </w:r>
      <w:r w:rsidR="00C65C8E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от основна група „Б“</w:t>
      </w: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 разделят на две - условна група Б1</w:t>
      </w:r>
      <w:r w:rsidR="00C65C8E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„Лекарст</w:t>
      </w:r>
      <w:r w:rsidR="0001482E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вени продукти без увеличено на 100% ниво на заплащане от </w:t>
      </w:r>
      <w:r w:rsidR="00AD1868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НЗОК от </w:t>
      </w:r>
      <w:r w:rsidR="0001482E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1.04.2024 г.“</w:t>
      </w: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условна група Б2</w:t>
      </w:r>
      <w:r w:rsidR="0001482E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„Лекарствени продукти за лечение на сърдечно-съдови заболявания, с повишено на 100% ниво на заплащане от НЗОК</w:t>
      </w:r>
      <w:r w:rsidR="00AD1868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1.04.2024 г.</w:t>
      </w:r>
      <w:r w:rsidR="0001482E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75D2A0B2" w14:textId="2A3729F9" w:rsidR="00976419" w:rsidRPr="00352041" w:rsidRDefault="00AD1868" w:rsidP="00024B00">
      <w:pPr>
        <w:pStyle w:val="ListParagraph"/>
        <w:keepNext/>
        <w:numPr>
          <w:ilvl w:val="0"/>
          <w:numId w:val="6"/>
        </w:numPr>
        <w:autoSpaceDE w:val="0"/>
        <w:autoSpaceDN w:val="0"/>
        <w:adjustRightInd w:val="0"/>
        <w:spacing w:after="0" w:line="269" w:lineRule="auto"/>
        <w:ind w:left="0" w:firstLine="360"/>
        <w:jc w:val="both"/>
        <w:textAlignment w:val="center"/>
        <w:rPr>
          <w:color w:val="000000"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sz w:val="24"/>
          <w:szCs w:val="24"/>
        </w:rPr>
        <w:t>Първоначално определен</w:t>
      </w:r>
      <w:r w:rsidR="00F83CBF" w:rsidRPr="0035204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>ят годишен бюджет за 2024 г. за основна група „Б“</w:t>
      </w:r>
      <w:r w:rsidR="00F83CBF" w:rsidRPr="00352041">
        <w:rPr>
          <w:rFonts w:ascii="Times New Roman" w:hAnsi="Times New Roman" w:cs="Times New Roman"/>
          <w:b/>
          <w:bCs/>
          <w:sz w:val="24"/>
          <w:szCs w:val="24"/>
        </w:rPr>
        <w:t>, формиран от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средствата за здравноосигурителни плащания, определени в чл. 1, ал. 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lastRenderedPageBreak/>
        <w:t>2, ред 1.1.</w:t>
      </w:r>
      <w:r w:rsidR="00F83CBF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3.5.3.2. от ЗБНЗОК за 2024 г., </w:t>
      </w:r>
      <w:r w:rsidR="00024B00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се разделя на две</w:t>
      </w:r>
      <w:r w:rsidR="00976419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части</w:t>
      </w:r>
      <w:r w:rsidR="004D6FB8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, с решение на надзорния съвет на НЗОК</w:t>
      </w:r>
      <w:r w:rsidR="00024B00" w:rsidRPr="0035204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0542AC2A" w14:textId="047827FD" w:rsidR="00976419" w:rsidRPr="00352041" w:rsidRDefault="00976419" w:rsidP="00976419">
      <w:pPr>
        <w:pStyle w:val="ListParagraph"/>
        <w:keepNext/>
        <w:autoSpaceDE w:val="0"/>
        <w:autoSpaceDN w:val="0"/>
        <w:adjustRightInd w:val="0"/>
        <w:spacing w:after="0" w:line="269" w:lineRule="auto"/>
        <w:ind w:left="0" w:firstLine="426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52041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024B00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6FB8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част</w:t>
      </w: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условна група Б1 „Лекарствени продукти без увеличено на 100% ниво на заплащане от НЗОК от 1.04.2024 г.“ и </w:t>
      </w:r>
    </w:p>
    <w:p w14:paraId="19EB803C" w14:textId="4F72B532" w:rsidR="00976419" w:rsidRPr="00352041" w:rsidRDefault="00976419" w:rsidP="00976419">
      <w:pPr>
        <w:pStyle w:val="ListParagraph"/>
        <w:keepNext/>
        <w:autoSpaceDE w:val="0"/>
        <w:autoSpaceDN w:val="0"/>
        <w:adjustRightInd w:val="0"/>
        <w:spacing w:after="0" w:line="269" w:lineRule="auto"/>
        <w:ind w:left="0" w:firstLine="426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352041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6FB8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част</w:t>
      </w: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условна група Б2 „Лекарствени продукти за лечение на сърдечно-съдови заболявания, с повишено на 100% ниво на заплащане от НЗОК от 1.04.2024 г.“.</w:t>
      </w:r>
    </w:p>
    <w:p w14:paraId="5B6129D8" w14:textId="3472D80B" w:rsidR="00957CF3" w:rsidRPr="00352041" w:rsidRDefault="00957CF3" w:rsidP="00957CF3">
      <w:pPr>
        <w:keepNext/>
        <w:autoSpaceDE w:val="0"/>
        <w:autoSpaceDN w:val="0"/>
        <w:adjustRightInd w:val="0"/>
        <w:spacing w:after="0" w:line="269" w:lineRule="auto"/>
        <w:ind w:firstLine="426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4D6FB8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Съответните части по т.2 за</w:t>
      </w:r>
      <w:r w:rsidR="00024B00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условните групи</w:t>
      </w:r>
      <w:r w:rsidR="009B7A2D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Б1 и Б2</w:t>
      </w:r>
      <w:r w:rsidR="00024B00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 определят пропорционално на дела на нетни</w:t>
      </w: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>те</w:t>
      </w:r>
      <w:r w:rsidR="00024B00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разходи за съответните лекарствени продукти през 2023г., отнесен към 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>първоначално определеният годишен бюджет за 2024 г. за основна група „Б“, формиран от средствата за здравноосигурителни плащания, определени в чл. 1, ал. 2, ред 1.1.3.5.3.2. от ЗБНЗОК за 2024 г.</w:t>
      </w:r>
    </w:p>
    <w:p w14:paraId="1CB58FBC" w14:textId="4FC22D29" w:rsidR="004D6FB8" w:rsidRPr="00352041" w:rsidRDefault="0032326F" w:rsidP="0032326F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4D6FB8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Определената съобразно т.3 част за условна група Б1 представлява годишния бюджет за 2024 г. за тази условна група.</w:t>
      </w:r>
    </w:p>
    <w:p w14:paraId="728C6890" w14:textId="1AC25C1E" w:rsidR="0032326F" w:rsidRPr="00352041" w:rsidRDefault="004D6FB8" w:rsidP="0032326F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="00024B00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Към </w:t>
      </w: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>определената съобразно</w:t>
      </w:r>
      <w:r w:rsidR="0032326F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т.3 </w:t>
      </w: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>част</w:t>
      </w:r>
      <w:r w:rsidR="0032326F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 условна група Б2</w:t>
      </w:r>
      <w:r w:rsidR="00024B00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2326F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„Лекарствени продукти за лечение на сърдечно-съдови заболявания, с повишено на 100% ниво на заплащане от НЗОК от 1.04.2024 г.“ </w:t>
      </w:r>
      <w:r w:rsidR="00024B00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се прибавя</w:t>
      </w:r>
      <w:r w:rsidR="0032326F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24B00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r w:rsidR="0032326F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общия размер на определените с решения на Надзорния съвет на НЗОК </w:t>
      </w:r>
      <w:r w:rsidR="009B7A2D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на основание </w:t>
      </w:r>
      <w:hyperlink r:id="rId12" w:history="1">
        <w:r w:rsidR="0032326F" w:rsidRPr="00352041">
          <w:rPr>
            <w:rFonts w:ascii="Times New Roman" w:hAnsi="Times New Roman" w:cs="Times New Roman"/>
            <w:b/>
            <w:bCs/>
            <w:sz w:val="24"/>
            <w:szCs w:val="24"/>
          </w:rPr>
          <w:t>чл. 15, ал. 1, т. 7</w:t>
        </w:r>
      </w:hyperlink>
      <w:r w:rsidR="0032326F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от ЗЗО и § 1, ал.1 от ПЗР на ЗБНЗОК за 2024 г. допълнителни целеви средства</w:t>
      </w:r>
      <w:r w:rsidR="009B7A2D" w:rsidRPr="003520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326F" w:rsidRPr="00352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>Сборът формира годишния бюджет за 2024 г. за</w:t>
      </w: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условна група Б2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DBB03E" w14:textId="5136364F" w:rsidR="00024B00" w:rsidRPr="00352041" w:rsidRDefault="000D7711" w:rsidP="00DD3D69">
      <w:pPr>
        <w:keepNext/>
        <w:autoSpaceDE w:val="0"/>
        <w:autoSpaceDN w:val="0"/>
        <w:adjustRightInd w:val="0"/>
        <w:spacing w:after="0" w:line="269" w:lineRule="auto"/>
        <w:ind w:firstLine="426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5204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 w:rsidR="00DD3D69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365C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При извършване на годишното изравняване за 2024 г., з</w:t>
      </w:r>
      <w:r w:rsidR="00024B00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всяка от формираните условни групи Б1 и Б2 </w:t>
      </w:r>
      <w:r w:rsidR="00DD3D69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съобразно техните годишни бюджети за 2024 г., </w:t>
      </w:r>
      <w:r w:rsidR="009B7A2D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които са </w:t>
      </w:r>
      <w:r w:rsidR="00DD3D69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определени съгласно ал.1, </w:t>
      </w:r>
      <w:r w:rsidR="0059365C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член 9 от Механизма за 2024 г. се прилага поотделно, </w:t>
      </w:r>
      <w:r w:rsidR="00DD3D69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по общия ред, установен в него, за приложимост към основна група лекарствени продукти.</w:t>
      </w:r>
    </w:p>
    <w:p w14:paraId="237FBFEF" w14:textId="1AB4DDC4" w:rsidR="00E95BE7" w:rsidRPr="00352041" w:rsidRDefault="00DD3D69" w:rsidP="00E95BE7">
      <w:pPr>
        <w:keepNext/>
        <w:autoSpaceDE w:val="0"/>
        <w:autoSpaceDN w:val="0"/>
        <w:adjustRightInd w:val="0"/>
        <w:spacing w:after="0" w:line="269" w:lineRule="auto"/>
        <w:ind w:firstLine="426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5204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365C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случаите по ал.2</w:t>
      </w:r>
      <w:r w:rsidR="00BD311B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компенсиране по чл.6, ал.11 от Механизма за 2024 г. се извършва само в рамките на условна група. Не се допуска компенсиране </w:t>
      </w:r>
      <w:r w:rsidR="00ED6EDF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 w:rsidR="00BD311B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D6EDF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лекарствени </w:t>
      </w:r>
      <w:r w:rsidR="00BD311B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продукти </w:t>
      </w:r>
      <w:r w:rsidR="00ED6EDF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един ПРУ </w:t>
      </w:r>
      <w:r w:rsidR="00BD311B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различни условни групи Б1 и Б2 в рамките на основната група „Б“.</w:t>
      </w:r>
    </w:p>
    <w:p w14:paraId="6C048D6C" w14:textId="18EB2244" w:rsidR="00024B00" w:rsidRPr="00352041" w:rsidRDefault="00024B00" w:rsidP="00DD3D69">
      <w:pPr>
        <w:autoSpaceDE w:val="0"/>
        <w:autoSpaceDN w:val="0"/>
        <w:adjustRightInd w:val="0"/>
        <w:spacing w:before="113" w:after="57" w:line="271" w:lineRule="auto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DD3D69"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3520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случай на установено неусвояване на годишния бюджет за 2024 г. на условна група Б1 или Б2 и установено превишение на годишния бюджет за 2024 г. на другата условна група, с разликата (между годишния бюджет за 2024 г. и нетните разходи на НЗОК за лекарствените продукти от тази условна група за 2024 г.</w:t>
      </w:r>
      <w:r w:rsidR="003B5659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може да</w:t>
      </w: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 компенсира напълно или частично превишението на годишния бюджет при условната група, при която е установено такова</w:t>
      </w:r>
      <w:r w:rsidR="00602AFA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с </w:t>
      </w:r>
      <w:r w:rsidR="00ED6EDF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602AFA" w:rsidRPr="00352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ешение на </w:t>
      </w:r>
      <w:r w:rsidR="00ED6EDF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602AFA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адзорния съвет на НЗОК</w:t>
      </w:r>
      <w:r w:rsidRPr="00352041">
        <w:rPr>
          <w:rFonts w:ascii="Times New Roman" w:hAnsi="Times New Roman" w:cs="Times New Roman"/>
          <w:b/>
          <w:color w:val="000000"/>
          <w:sz w:val="24"/>
          <w:szCs w:val="24"/>
        </w:rPr>
        <w:t>. Компенсирането между условните групи се извършава след годишното компенсиране по чл.8 от Механизма за 2024 г.</w:t>
      </w:r>
      <w:r w:rsidR="000B0AE6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29031F" w:rsidRPr="0035204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5B24C44" w14:textId="77777777" w:rsidR="00024B00" w:rsidRPr="00352041" w:rsidRDefault="00024B00" w:rsidP="00024B00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A95CB" w14:textId="7B624227" w:rsidR="00024B00" w:rsidRPr="00DD3D69" w:rsidRDefault="00024B00" w:rsidP="00024B00">
      <w:pPr>
        <w:autoSpaceDE w:val="0"/>
        <w:autoSpaceDN w:val="0"/>
        <w:adjustRightInd w:val="0"/>
        <w:spacing w:after="0" w:line="271" w:lineRule="auto"/>
        <w:ind w:firstLine="36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04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B0AE6" w:rsidRPr="0035204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520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52041">
        <w:rPr>
          <w:rFonts w:ascii="Times New Roman" w:hAnsi="Times New Roman" w:cs="Times New Roman"/>
          <w:b/>
          <w:sz w:val="24"/>
          <w:szCs w:val="24"/>
        </w:rPr>
        <w:t xml:space="preserve"> Настоящият Механизъм </w:t>
      </w:r>
      <w:r w:rsidR="000B0AE6" w:rsidRPr="00352041">
        <w:rPr>
          <w:rFonts w:ascii="Times New Roman" w:hAnsi="Times New Roman" w:cs="Times New Roman"/>
          <w:b/>
          <w:sz w:val="24"/>
          <w:szCs w:val="24"/>
        </w:rPr>
        <w:t xml:space="preserve">за изменение и </w:t>
      </w:r>
      <w:r w:rsidRPr="00352041">
        <w:rPr>
          <w:rFonts w:ascii="Times New Roman" w:hAnsi="Times New Roman" w:cs="Times New Roman"/>
          <w:b/>
          <w:sz w:val="24"/>
          <w:szCs w:val="24"/>
        </w:rPr>
        <w:t xml:space="preserve">допълнение на Механизма за 2024 г. влиза в сила от датата на обнародването му в „Държавен вестник“, с изключение на §1 и </w:t>
      </w:r>
      <w:r w:rsidR="00F367B5" w:rsidRPr="00352041">
        <w:rPr>
          <w:rFonts w:ascii="Times New Roman" w:hAnsi="Times New Roman" w:cs="Times New Roman"/>
          <w:b/>
          <w:sz w:val="24"/>
          <w:szCs w:val="24"/>
        </w:rPr>
        <w:t>§</w:t>
      </w:r>
      <w:r w:rsidRPr="00352041">
        <w:rPr>
          <w:rFonts w:ascii="Times New Roman" w:hAnsi="Times New Roman" w:cs="Times New Roman"/>
          <w:b/>
          <w:sz w:val="24"/>
          <w:szCs w:val="24"/>
        </w:rPr>
        <w:t>2, които влизат в сила от 1 януари 2024 г.</w:t>
      </w:r>
    </w:p>
    <w:p w14:paraId="2C9D44DF" w14:textId="77777777" w:rsidR="00024B00" w:rsidRPr="00024B00" w:rsidRDefault="00024B00" w:rsidP="00024B00">
      <w:pPr>
        <w:autoSpaceDE w:val="0"/>
        <w:autoSpaceDN w:val="0"/>
        <w:adjustRightInd w:val="0"/>
        <w:spacing w:after="0" w:line="271" w:lineRule="auto"/>
        <w:ind w:firstLine="360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7"/>
    <w:p w14:paraId="437DA817" w14:textId="77777777" w:rsidR="005C2E0C" w:rsidRPr="005F3F18" w:rsidRDefault="005C2E0C" w:rsidP="005F3F18">
      <w:pPr>
        <w:autoSpaceDE w:val="0"/>
        <w:autoSpaceDN w:val="0"/>
        <w:adjustRightInd w:val="0"/>
        <w:spacing w:after="0" w:line="271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73DF4C04" w14:textId="77777777" w:rsidR="005C2E0C" w:rsidRDefault="005C2E0C" w:rsidP="00B042B9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b/>
          <w:bCs/>
          <w:color w:val="FF0000"/>
          <w:sz w:val="24"/>
          <w:szCs w:val="24"/>
        </w:rPr>
      </w:pPr>
    </w:p>
    <w:p w14:paraId="2C63B964" w14:textId="77777777" w:rsidR="00B042B9" w:rsidRPr="007C5081" w:rsidRDefault="00B042B9" w:rsidP="00B042B9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b/>
          <w:bCs/>
          <w:color w:val="000000"/>
          <w:sz w:val="17"/>
          <w:szCs w:val="17"/>
        </w:rPr>
      </w:pPr>
    </w:p>
    <w:p w14:paraId="73CCF20A" w14:textId="3CB84A8C" w:rsidR="00E54534" w:rsidRPr="0069231C" w:rsidRDefault="00B042B9" w:rsidP="00702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sectPr w:rsidR="00E54534" w:rsidRPr="0069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202"/>
    <w:multiLevelType w:val="hybridMultilevel"/>
    <w:tmpl w:val="1E60CB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63C"/>
    <w:multiLevelType w:val="hybridMultilevel"/>
    <w:tmpl w:val="F0D0E878"/>
    <w:lvl w:ilvl="0" w:tplc="8A00878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C07B70"/>
    <w:multiLevelType w:val="hybridMultilevel"/>
    <w:tmpl w:val="3D7AC504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8F26658"/>
    <w:multiLevelType w:val="hybridMultilevel"/>
    <w:tmpl w:val="F0D0E878"/>
    <w:lvl w:ilvl="0" w:tplc="FFFFFFFF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3C3E44"/>
    <w:multiLevelType w:val="hybridMultilevel"/>
    <w:tmpl w:val="B8924A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0084D"/>
    <w:multiLevelType w:val="hybridMultilevel"/>
    <w:tmpl w:val="14706EF0"/>
    <w:lvl w:ilvl="0" w:tplc="551ED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396604">
    <w:abstractNumId w:val="4"/>
  </w:num>
  <w:num w:numId="2" w16cid:durableId="2019232269">
    <w:abstractNumId w:val="0"/>
  </w:num>
  <w:num w:numId="3" w16cid:durableId="1668248882">
    <w:abstractNumId w:val="1"/>
  </w:num>
  <w:num w:numId="4" w16cid:durableId="270361488">
    <w:abstractNumId w:val="3"/>
  </w:num>
  <w:num w:numId="5" w16cid:durableId="382754302">
    <w:abstractNumId w:val="2"/>
  </w:num>
  <w:num w:numId="6" w16cid:durableId="1282613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1C"/>
    <w:rsid w:val="000013EF"/>
    <w:rsid w:val="0001482E"/>
    <w:rsid w:val="000174AD"/>
    <w:rsid w:val="00024B00"/>
    <w:rsid w:val="00025FF3"/>
    <w:rsid w:val="000471A0"/>
    <w:rsid w:val="00050D7E"/>
    <w:rsid w:val="000B0AE6"/>
    <w:rsid w:val="000D7711"/>
    <w:rsid w:val="001003B7"/>
    <w:rsid w:val="00176EC2"/>
    <w:rsid w:val="00195781"/>
    <w:rsid w:val="002269C3"/>
    <w:rsid w:val="002672F3"/>
    <w:rsid w:val="0029031F"/>
    <w:rsid w:val="002D1C97"/>
    <w:rsid w:val="002E768F"/>
    <w:rsid w:val="002F621E"/>
    <w:rsid w:val="0032326F"/>
    <w:rsid w:val="00342079"/>
    <w:rsid w:val="00352041"/>
    <w:rsid w:val="003836FF"/>
    <w:rsid w:val="003920B2"/>
    <w:rsid w:val="003B2D18"/>
    <w:rsid w:val="003B5659"/>
    <w:rsid w:val="003D76B5"/>
    <w:rsid w:val="0041166D"/>
    <w:rsid w:val="00474995"/>
    <w:rsid w:val="004D6FB8"/>
    <w:rsid w:val="004F12C6"/>
    <w:rsid w:val="00511FCA"/>
    <w:rsid w:val="00532C51"/>
    <w:rsid w:val="00544E10"/>
    <w:rsid w:val="005712D8"/>
    <w:rsid w:val="00591C58"/>
    <w:rsid w:val="0059365C"/>
    <w:rsid w:val="005C2E0C"/>
    <w:rsid w:val="005F3F18"/>
    <w:rsid w:val="00602AFA"/>
    <w:rsid w:val="00643728"/>
    <w:rsid w:val="00650564"/>
    <w:rsid w:val="0069231C"/>
    <w:rsid w:val="006A0432"/>
    <w:rsid w:val="006F1E35"/>
    <w:rsid w:val="0070255A"/>
    <w:rsid w:val="00727072"/>
    <w:rsid w:val="00815BD2"/>
    <w:rsid w:val="00846F5B"/>
    <w:rsid w:val="0089551A"/>
    <w:rsid w:val="008B29E0"/>
    <w:rsid w:val="008B2D9A"/>
    <w:rsid w:val="008C562F"/>
    <w:rsid w:val="008D11C8"/>
    <w:rsid w:val="008F6B1B"/>
    <w:rsid w:val="00954F74"/>
    <w:rsid w:val="00957CF3"/>
    <w:rsid w:val="00976419"/>
    <w:rsid w:val="009779A2"/>
    <w:rsid w:val="00996E01"/>
    <w:rsid w:val="009A7B4B"/>
    <w:rsid w:val="009B7A2D"/>
    <w:rsid w:val="00A06080"/>
    <w:rsid w:val="00A237D4"/>
    <w:rsid w:val="00A53285"/>
    <w:rsid w:val="00A61AF3"/>
    <w:rsid w:val="00AC5D02"/>
    <w:rsid w:val="00AD1868"/>
    <w:rsid w:val="00B042B9"/>
    <w:rsid w:val="00B066F8"/>
    <w:rsid w:val="00B40F5F"/>
    <w:rsid w:val="00BC1D05"/>
    <w:rsid w:val="00BD29EB"/>
    <w:rsid w:val="00BD311B"/>
    <w:rsid w:val="00C65C8E"/>
    <w:rsid w:val="00C969B2"/>
    <w:rsid w:val="00CB3D09"/>
    <w:rsid w:val="00D00F06"/>
    <w:rsid w:val="00D23F84"/>
    <w:rsid w:val="00D62672"/>
    <w:rsid w:val="00DB765C"/>
    <w:rsid w:val="00DC6757"/>
    <w:rsid w:val="00DD3D69"/>
    <w:rsid w:val="00E104B4"/>
    <w:rsid w:val="00E54534"/>
    <w:rsid w:val="00E95BE7"/>
    <w:rsid w:val="00ED6EDF"/>
    <w:rsid w:val="00F367B5"/>
    <w:rsid w:val="00F65FA3"/>
    <w:rsid w:val="00F83CBF"/>
    <w:rsid w:val="00F91EC0"/>
    <w:rsid w:val="00FB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C29C"/>
  <w15:docId w15:val="{A4A7E7D7-8816-4C67-A67F-EA2128A7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3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31C"/>
    <w:rPr>
      <w:b/>
      <w:bCs/>
      <w:smallCaps/>
      <w:color w:val="0F4761" w:themeColor="accent1" w:themeShade="BF"/>
      <w:spacing w:val="5"/>
    </w:rPr>
  </w:style>
  <w:style w:type="paragraph" w:customStyle="1" w:styleId="m">
    <w:name w:val="m"/>
    <w:basedOn w:val="Normal"/>
    <w:rsid w:val="009A7B4B"/>
    <w:pPr>
      <w:spacing w:before="100" w:beforeAutospacing="1" w:after="100" w:afterAutospacing="1" w:line="240" w:lineRule="auto"/>
      <w:ind w:firstLine="990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C5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D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D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8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763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83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667&amp;ToPar=Art15_Al1_Pt7&amp;Type=20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pis://Base=NARH&amp;DocCode=4667&amp;ToPar=Art15_Al1_Pt7&amp;Type=201/" TargetMode="External"/><Relationship Id="rId12" Type="http://schemas.openxmlformats.org/officeDocument/2006/relationships/hyperlink" Target="apis://Base=NARH&amp;DocCode=4667&amp;ToPar=Art15_Al1_Pt7&amp;Type=2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pis://Base=NARH&amp;DocCode=4667&amp;ToPar=Art15_Al1_Pt7&amp;Type=201/" TargetMode="External"/><Relationship Id="rId11" Type="http://schemas.openxmlformats.org/officeDocument/2006/relationships/hyperlink" Target="apis://Base=NARH&amp;DocCode=4667&amp;ToPar=Art15_Al1_Pt7&amp;Type=20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pis://Base=NARH&amp;DocCode=4667&amp;ToPar=Art15_Al1_Pt7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667&amp;ToPar=Art15_Al1_Pt7&amp;Type=2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FEADD-5847-48FC-9875-D1100197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Дилянова Бенева</dc:creator>
  <cp:lastModifiedBy>Ирена Дилянова Бенева</cp:lastModifiedBy>
  <cp:revision>17</cp:revision>
  <cp:lastPrinted>2024-12-16T11:29:00Z</cp:lastPrinted>
  <dcterms:created xsi:type="dcterms:W3CDTF">2024-12-16T09:01:00Z</dcterms:created>
  <dcterms:modified xsi:type="dcterms:W3CDTF">2024-12-18T06:51:00Z</dcterms:modified>
</cp:coreProperties>
</file>