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9265" w14:textId="0F02BF96" w:rsidR="0069231C" w:rsidRPr="0069231C" w:rsidRDefault="0069231C">
      <w:pPr>
        <w:rPr>
          <w:bCs/>
          <w:i/>
          <w:iCs/>
        </w:rPr>
      </w:pPr>
      <w:r>
        <w:rPr>
          <w:bCs/>
          <w:i/>
          <w:iCs/>
          <w:lang w:val="en-US"/>
        </w:rPr>
        <w:tab/>
      </w:r>
      <w:r>
        <w:rPr>
          <w:bCs/>
          <w:i/>
          <w:iCs/>
          <w:lang w:val="en-US"/>
        </w:rPr>
        <w:tab/>
      </w:r>
      <w:r>
        <w:rPr>
          <w:bCs/>
          <w:i/>
          <w:iCs/>
          <w:lang w:val="en-US"/>
        </w:rPr>
        <w:tab/>
      </w:r>
      <w:r>
        <w:rPr>
          <w:bCs/>
          <w:i/>
          <w:iCs/>
          <w:lang w:val="en-US"/>
        </w:rPr>
        <w:tab/>
      </w:r>
      <w:r>
        <w:rPr>
          <w:bCs/>
          <w:i/>
          <w:iCs/>
          <w:lang w:val="en-US"/>
        </w:rPr>
        <w:tab/>
      </w:r>
      <w:r>
        <w:rPr>
          <w:bCs/>
          <w:i/>
          <w:iCs/>
          <w:lang w:val="en-US"/>
        </w:rPr>
        <w:tab/>
      </w:r>
      <w:r>
        <w:rPr>
          <w:bCs/>
          <w:i/>
          <w:iCs/>
          <w:lang w:val="en-US"/>
        </w:rPr>
        <w:tab/>
      </w:r>
      <w:r>
        <w:rPr>
          <w:bCs/>
          <w:i/>
          <w:iCs/>
          <w:lang w:val="en-US"/>
        </w:rPr>
        <w:tab/>
      </w:r>
      <w:r>
        <w:rPr>
          <w:bCs/>
          <w:i/>
          <w:iCs/>
          <w:lang w:val="en-US"/>
        </w:rPr>
        <w:tab/>
      </w:r>
      <w:r>
        <w:rPr>
          <w:bCs/>
          <w:i/>
          <w:iCs/>
        </w:rPr>
        <w:tab/>
        <w:t>ПРОЕКТ!</w:t>
      </w:r>
    </w:p>
    <w:p w14:paraId="7406E61E" w14:textId="77777777" w:rsidR="0069231C" w:rsidRPr="0077598D" w:rsidRDefault="0069231C" w:rsidP="0070255A">
      <w:pPr>
        <w:spacing w:after="0"/>
        <w:rPr>
          <w:i/>
          <w:iCs/>
        </w:rPr>
      </w:pPr>
    </w:p>
    <w:p w14:paraId="191A97C9" w14:textId="16320BF4" w:rsidR="0069231C" w:rsidRPr="0077598D" w:rsidRDefault="00160DE2" w:rsidP="0070255A">
      <w:pPr>
        <w:spacing w:after="0"/>
        <w:jc w:val="center"/>
        <w:rPr>
          <w:rFonts w:ascii="Times New Roman" w:hAnsi="Times New Roman" w:cs="Times New Roman"/>
          <w:sz w:val="24"/>
          <w:szCs w:val="24"/>
        </w:rPr>
      </w:pPr>
      <w:r w:rsidRPr="0077598D">
        <w:rPr>
          <w:rFonts w:ascii="Times New Roman" w:hAnsi="Times New Roman" w:cs="Times New Roman"/>
          <w:sz w:val="24"/>
          <w:szCs w:val="24"/>
        </w:rPr>
        <w:t>Методика</w:t>
      </w:r>
    </w:p>
    <w:p w14:paraId="66CB8873" w14:textId="6A4C73E7" w:rsidR="0069231C" w:rsidRPr="0077598D" w:rsidRDefault="0069231C" w:rsidP="0070255A">
      <w:pPr>
        <w:spacing w:after="0"/>
        <w:jc w:val="center"/>
        <w:rPr>
          <w:rFonts w:ascii="Times New Roman" w:hAnsi="Times New Roman" w:cs="Times New Roman"/>
          <w:sz w:val="24"/>
          <w:szCs w:val="24"/>
        </w:rPr>
      </w:pPr>
      <w:r w:rsidRPr="0077598D">
        <w:rPr>
          <w:rFonts w:ascii="Times New Roman" w:hAnsi="Times New Roman" w:cs="Times New Roman"/>
          <w:sz w:val="24"/>
          <w:szCs w:val="24"/>
        </w:rPr>
        <w:t xml:space="preserve">за </w:t>
      </w:r>
      <w:r w:rsidR="00BA36B1" w:rsidRPr="0077598D">
        <w:rPr>
          <w:rFonts w:ascii="Times New Roman" w:hAnsi="Times New Roman" w:cs="Times New Roman"/>
          <w:sz w:val="24"/>
          <w:szCs w:val="24"/>
        </w:rPr>
        <w:t>из</w:t>
      </w:r>
      <w:r w:rsidR="0073360A" w:rsidRPr="0077598D">
        <w:rPr>
          <w:rFonts w:ascii="Times New Roman" w:hAnsi="Times New Roman" w:cs="Times New Roman"/>
          <w:sz w:val="24"/>
          <w:szCs w:val="24"/>
        </w:rPr>
        <w:t xml:space="preserve">менение и </w:t>
      </w:r>
      <w:r w:rsidRPr="0077598D">
        <w:rPr>
          <w:rFonts w:ascii="Times New Roman" w:hAnsi="Times New Roman" w:cs="Times New Roman"/>
          <w:sz w:val="24"/>
          <w:szCs w:val="24"/>
        </w:rPr>
        <w:t>допълнение на</w:t>
      </w:r>
    </w:p>
    <w:p w14:paraId="4E33B2A0" w14:textId="7FEDE691" w:rsidR="0070255A" w:rsidRPr="0077598D" w:rsidRDefault="00160DE2" w:rsidP="0070255A">
      <w:pPr>
        <w:jc w:val="center"/>
        <w:rPr>
          <w:rFonts w:ascii="Times New Roman" w:hAnsi="Times New Roman"/>
          <w:sz w:val="24"/>
          <w:szCs w:val="24"/>
          <w:lang w:val="x-none"/>
        </w:rPr>
      </w:pPr>
      <w:r w:rsidRPr="0077598D">
        <w:rPr>
          <w:rFonts w:ascii="Times New Roman" w:hAnsi="Times New Roman" w:cs="Times New Roman"/>
          <w:sz w:val="24"/>
          <w:szCs w:val="24"/>
        </w:rPr>
        <w:t xml:space="preserve">Методика за прилагане на </w:t>
      </w:r>
      <w:r w:rsidR="0069231C" w:rsidRPr="0077598D">
        <w:rPr>
          <w:rFonts w:ascii="Times New Roman" w:hAnsi="Times New Roman" w:cs="Times New Roman"/>
          <w:sz w:val="24"/>
          <w:szCs w:val="24"/>
        </w:rPr>
        <w:t xml:space="preserve">Механизма, </w:t>
      </w:r>
      <w:r w:rsidR="0069231C" w:rsidRPr="0077598D">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r w:rsidR="0069231C" w:rsidRPr="0077598D">
        <w:rPr>
          <w:rFonts w:ascii="Times New Roman" w:hAnsi="Times New Roman" w:cs="Times New Roman"/>
          <w:color w:val="000000"/>
          <w:sz w:val="24"/>
          <w:szCs w:val="24"/>
        </w:rPr>
        <w:t xml:space="preserve"> </w:t>
      </w:r>
      <w:r w:rsidR="0069231C" w:rsidRPr="0077598D">
        <w:rPr>
          <w:rFonts w:ascii="Times New Roman" w:hAnsi="Times New Roman" w:cs="Times New Roman"/>
          <w:color w:val="000000"/>
          <w:sz w:val="24"/>
          <w:szCs w:val="24"/>
          <w:lang w:val="en-US"/>
        </w:rPr>
        <w:t>(</w:t>
      </w:r>
      <w:r w:rsidR="0069231C" w:rsidRPr="0077598D">
        <w:rPr>
          <w:rFonts w:ascii="Times New Roman" w:hAnsi="Times New Roman" w:cs="Times New Roman"/>
          <w:color w:val="000000"/>
          <w:sz w:val="24"/>
          <w:szCs w:val="24"/>
        </w:rPr>
        <w:t xml:space="preserve">приет с </w:t>
      </w:r>
      <w:bookmarkStart w:id="0" w:name="_Hlk157182470"/>
      <w:r w:rsidR="0069231C" w:rsidRPr="0077598D">
        <w:rPr>
          <w:rFonts w:ascii="Times New Roman" w:hAnsi="Times New Roman" w:cs="Times New Roman"/>
          <w:sz w:val="24"/>
          <w:szCs w:val="24"/>
        </w:rPr>
        <w:t>Решение № РД-НС-04-19/3</w:t>
      </w:r>
      <w:r w:rsidR="0069231C" w:rsidRPr="0077598D">
        <w:rPr>
          <w:rFonts w:ascii="Times New Roman" w:hAnsi="Times New Roman" w:cs="Times New Roman"/>
          <w:sz w:val="24"/>
          <w:szCs w:val="24"/>
          <w:lang w:val="en-US"/>
        </w:rPr>
        <w:t>1</w:t>
      </w:r>
      <w:r w:rsidR="0069231C" w:rsidRPr="0077598D">
        <w:rPr>
          <w:rFonts w:ascii="Times New Roman" w:hAnsi="Times New Roman" w:cs="Times New Roman"/>
          <w:sz w:val="24"/>
          <w:szCs w:val="24"/>
        </w:rPr>
        <w:t>.01.2024 г.</w:t>
      </w:r>
      <w:bookmarkEnd w:id="0"/>
      <w:r w:rsidR="0070255A" w:rsidRPr="0077598D">
        <w:rPr>
          <w:rFonts w:ascii="Times New Roman" w:hAnsi="Times New Roman"/>
          <w:sz w:val="24"/>
          <w:szCs w:val="24"/>
          <w:lang w:val="x-none"/>
        </w:rPr>
        <w:t xml:space="preserve"> обн., ДВ, бр. 12 от 9.02.2024 г., в сила от 1.01.2024 г.)</w:t>
      </w:r>
    </w:p>
    <w:p w14:paraId="289F3ABB" w14:textId="77777777" w:rsidR="004A3277" w:rsidRPr="0077598D" w:rsidRDefault="004A3277" w:rsidP="0070255A">
      <w:pPr>
        <w:jc w:val="center"/>
      </w:pPr>
    </w:p>
    <w:p w14:paraId="428E6D01" w14:textId="6AC52986" w:rsidR="00D72EB4" w:rsidRPr="0077598D" w:rsidRDefault="00D72EB4" w:rsidP="00BA36B1">
      <w:pPr>
        <w:keepNext/>
        <w:autoSpaceDE w:val="0"/>
        <w:autoSpaceDN w:val="0"/>
        <w:adjustRightInd w:val="0"/>
        <w:spacing w:before="57" w:after="28" w:line="269" w:lineRule="auto"/>
        <w:ind w:firstLine="426"/>
        <w:jc w:val="both"/>
        <w:textAlignment w:val="center"/>
        <w:rPr>
          <w:rFonts w:ascii="Times New Roman" w:hAnsi="Times New Roman" w:cs="Times New Roman"/>
          <w:sz w:val="24"/>
          <w:szCs w:val="24"/>
        </w:rPr>
      </w:pPr>
      <w:r w:rsidRPr="0077598D">
        <w:rPr>
          <w:rFonts w:ascii="Times New Roman" w:hAnsi="Times New Roman" w:cs="Times New Roman"/>
          <w:sz w:val="24"/>
          <w:szCs w:val="24"/>
        </w:rPr>
        <w:t>Създава се нова т.</w:t>
      </w:r>
      <w:r w:rsidR="00E50C51" w:rsidRPr="0077598D">
        <w:rPr>
          <w:rFonts w:ascii="Times New Roman" w:hAnsi="Times New Roman" w:cs="Times New Roman"/>
          <w:sz w:val="24"/>
          <w:szCs w:val="24"/>
        </w:rPr>
        <w:t xml:space="preserve">VІІI </w:t>
      </w:r>
      <w:bookmarkStart w:id="1" w:name="_Hlk185241801"/>
      <w:r w:rsidR="00BA36B1" w:rsidRPr="0077598D">
        <w:rPr>
          <w:rFonts w:ascii="Times New Roman" w:hAnsi="Times New Roman" w:cs="Times New Roman"/>
          <w:sz w:val="24"/>
          <w:szCs w:val="24"/>
          <w:lang w:val="en-US"/>
        </w:rPr>
        <w:t>“</w:t>
      </w:r>
      <w:r w:rsidR="00E50C51" w:rsidRPr="0077598D">
        <w:rPr>
          <w:rFonts w:ascii="Times New Roman" w:hAnsi="Times New Roman" w:cs="Times New Roman"/>
          <w:sz w:val="24"/>
          <w:szCs w:val="24"/>
        </w:rPr>
        <w:t>Алгоритъм за извършване на годишно компенсиране</w:t>
      </w:r>
      <w:r w:rsidRPr="0077598D">
        <w:rPr>
          <w:rFonts w:ascii="Times New Roman" w:hAnsi="Times New Roman" w:cs="Times New Roman"/>
          <w:sz w:val="24"/>
          <w:szCs w:val="24"/>
        </w:rPr>
        <w:t xml:space="preserve"> на ръста на разходите на лекарствените продукти за лечение на сърдечно-съдови заболявания с увеличено на 100% ниво на заплащане от НЗОК от 1.04.2024 г.</w:t>
      </w:r>
      <w:r w:rsidR="00784827" w:rsidRPr="0077598D">
        <w:rPr>
          <w:rFonts w:ascii="Times New Roman" w:hAnsi="Times New Roman" w:cs="Times New Roman"/>
          <w:sz w:val="24"/>
          <w:szCs w:val="24"/>
        </w:rPr>
        <w:t xml:space="preserve"> от </w:t>
      </w:r>
      <w:r w:rsidR="00E50C51" w:rsidRPr="0077598D">
        <w:rPr>
          <w:rFonts w:ascii="Times New Roman" w:hAnsi="Times New Roman" w:cs="Times New Roman"/>
          <w:sz w:val="24"/>
          <w:szCs w:val="24"/>
        </w:rPr>
        <w:t>основна група Б</w:t>
      </w:r>
      <w:r w:rsidR="00BA36B1" w:rsidRPr="0077598D">
        <w:rPr>
          <w:rFonts w:ascii="Times New Roman" w:hAnsi="Times New Roman" w:cs="Times New Roman"/>
          <w:sz w:val="24"/>
          <w:szCs w:val="24"/>
          <w:lang w:val="en-US"/>
        </w:rPr>
        <w:t>”</w:t>
      </w:r>
      <w:r w:rsidRPr="0077598D">
        <w:rPr>
          <w:rFonts w:ascii="Times New Roman" w:hAnsi="Times New Roman" w:cs="Times New Roman"/>
          <w:sz w:val="24"/>
          <w:szCs w:val="24"/>
        </w:rPr>
        <w:t>,</w:t>
      </w:r>
      <w:r w:rsidR="00E50C51" w:rsidRPr="0077598D">
        <w:rPr>
          <w:rFonts w:ascii="Times New Roman" w:hAnsi="Times New Roman" w:cs="Times New Roman"/>
          <w:sz w:val="24"/>
          <w:szCs w:val="24"/>
        </w:rPr>
        <w:t xml:space="preserve"> </w:t>
      </w:r>
      <w:r w:rsidRPr="0077598D">
        <w:rPr>
          <w:rFonts w:ascii="Times New Roman" w:hAnsi="Times New Roman" w:cs="Times New Roman"/>
          <w:sz w:val="24"/>
          <w:szCs w:val="24"/>
        </w:rPr>
        <w:t>съгласно определените с решения на Надзорния съвет на НЗОК по чл. 15, ал. 1, т. 7 от ЗЗО и по § 1, ал.1 от ПЗР на ЗБНЗОК за 2024 г. допълнителни средства</w:t>
      </w:r>
      <w:r w:rsidR="00BA36B1" w:rsidRPr="0077598D">
        <w:rPr>
          <w:rFonts w:ascii="Times New Roman" w:hAnsi="Times New Roman" w:cs="Times New Roman"/>
          <w:sz w:val="24"/>
          <w:szCs w:val="24"/>
        </w:rPr>
        <w:t xml:space="preserve"> и Механизъм</w:t>
      </w:r>
      <w:r w:rsidR="00BA36B1" w:rsidRPr="0077598D">
        <w:rPr>
          <w:rFonts w:ascii="Times New Roman" w:hAnsi="Times New Roman" w:cs="Times New Roman"/>
          <w:sz w:val="24"/>
          <w:szCs w:val="24"/>
          <w:lang w:val="en-US"/>
        </w:rPr>
        <w:t xml:space="preserve"> </w:t>
      </w:r>
      <w:r w:rsidR="00BA36B1" w:rsidRPr="0077598D">
        <w:rPr>
          <w:rFonts w:ascii="Times New Roman" w:hAnsi="Times New Roman" w:cs="Times New Roman"/>
          <w:sz w:val="24"/>
          <w:szCs w:val="24"/>
        </w:rPr>
        <w:t>за допълнение на</w:t>
      </w:r>
      <w:r w:rsidR="00BA36B1" w:rsidRPr="0077598D">
        <w:rPr>
          <w:rFonts w:ascii="Times New Roman" w:hAnsi="Times New Roman" w:cs="Times New Roman"/>
          <w:sz w:val="24"/>
          <w:szCs w:val="24"/>
          <w:lang w:val="en-US"/>
        </w:rPr>
        <w:t xml:space="preserve"> </w:t>
      </w:r>
      <w:r w:rsidR="00BA36B1" w:rsidRPr="0077598D">
        <w:rPr>
          <w:rFonts w:ascii="Times New Roman" w:hAnsi="Times New Roman" w:cs="Times New Roman"/>
          <w:sz w:val="24"/>
          <w:szCs w:val="24"/>
        </w:rPr>
        <w:t>Механизма, 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 (приет с Решение № РД-НС-04-19/31.01.2024 г. обн., ДВ, бр. 12 от 9.02.2024 г., в сила от 1.01.2024 г.)</w:t>
      </w:r>
    </w:p>
    <w:bookmarkEnd w:id="1"/>
    <w:p w14:paraId="4EAD69AD" w14:textId="77777777" w:rsidR="00BA36B1" w:rsidRPr="0077598D" w:rsidRDefault="00BA36B1" w:rsidP="00D72EB4">
      <w:pPr>
        <w:autoSpaceDE w:val="0"/>
        <w:autoSpaceDN w:val="0"/>
        <w:adjustRightInd w:val="0"/>
        <w:spacing w:after="0" w:line="271" w:lineRule="auto"/>
        <w:ind w:firstLine="360"/>
        <w:jc w:val="both"/>
        <w:textAlignment w:val="center"/>
        <w:rPr>
          <w:rFonts w:ascii="Times New Roman" w:hAnsi="Times New Roman" w:cs="Times New Roman"/>
          <w:sz w:val="24"/>
          <w:szCs w:val="24"/>
        </w:rPr>
      </w:pPr>
    </w:p>
    <w:p w14:paraId="57F50B6A" w14:textId="26B148FB" w:rsidR="00784827" w:rsidRPr="00BA36B1" w:rsidRDefault="00784827" w:rsidP="00BA36B1">
      <w:pPr>
        <w:autoSpaceDE w:val="0"/>
        <w:autoSpaceDN w:val="0"/>
        <w:adjustRightInd w:val="0"/>
        <w:spacing w:after="0" w:line="271" w:lineRule="auto"/>
        <w:ind w:firstLine="426"/>
        <w:jc w:val="both"/>
        <w:textAlignment w:val="center"/>
        <w:rPr>
          <w:rFonts w:ascii="Times New Roman" w:hAnsi="Times New Roman" w:cs="Times New Roman"/>
          <w:sz w:val="24"/>
          <w:szCs w:val="24"/>
          <w:lang w:val="en-US"/>
        </w:rPr>
      </w:pPr>
      <w:r w:rsidRPr="00BA36B1">
        <w:rPr>
          <w:rFonts w:ascii="Times New Roman" w:hAnsi="Times New Roman" w:cs="Times New Roman"/>
          <w:sz w:val="24"/>
          <w:szCs w:val="24"/>
        </w:rPr>
        <w:t>Н</w:t>
      </w:r>
      <w:r w:rsidR="00E50C51" w:rsidRPr="00BA36B1">
        <w:rPr>
          <w:rFonts w:ascii="Times New Roman" w:hAnsi="Times New Roman" w:cs="Times New Roman"/>
          <w:sz w:val="24"/>
          <w:szCs w:val="24"/>
        </w:rPr>
        <w:t xml:space="preserve">а годишна база, за цялата 2024 г., при извършване на годишното изчисляване и изравняване на дължимите суми в срок до края на първото тримесечие на 2025 г., Механизмът за 2024 г. се прилага спрямо основна група „Б“, като се изчислят нетните разходи на НЗОК за 2024 г. за всички лекарствени продукти, включени в тази основна група </w:t>
      </w:r>
      <w:r w:rsidR="00E50C51" w:rsidRPr="00BA36B1">
        <w:rPr>
          <w:rFonts w:ascii="Times New Roman" w:hAnsi="Times New Roman" w:cs="Times New Roman"/>
          <w:color w:val="000000"/>
          <w:sz w:val="24"/>
          <w:szCs w:val="24"/>
          <w:lang w:val="en-US"/>
        </w:rPr>
        <w:t>(</w:t>
      </w:r>
      <w:r w:rsidR="00E50C51" w:rsidRPr="00BA36B1">
        <w:rPr>
          <w:rFonts w:ascii="Times New Roman" w:hAnsi="Times New Roman" w:cs="Times New Roman"/>
          <w:color w:val="000000"/>
          <w:sz w:val="24"/>
          <w:szCs w:val="24"/>
        </w:rPr>
        <w:t>съобразно окончателните данни от ИИС на НЗОК за годишните разходи на НЗОК за лекарствените продукти от група „Б“ за календарната 2024г.</w:t>
      </w:r>
      <w:r w:rsidR="00E50C51" w:rsidRPr="00BA36B1">
        <w:rPr>
          <w:rFonts w:ascii="Times New Roman" w:hAnsi="Times New Roman" w:cs="Times New Roman"/>
          <w:color w:val="000000"/>
          <w:sz w:val="24"/>
          <w:szCs w:val="24"/>
          <w:lang w:val="en-US"/>
        </w:rPr>
        <w:t xml:space="preserve">) </w:t>
      </w:r>
      <w:r w:rsidR="00E50C51" w:rsidRPr="00BA36B1">
        <w:rPr>
          <w:rFonts w:ascii="Times New Roman" w:hAnsi="Times New Roman" w:cs="Times New Roman"/>
          <w:color w:val="000000"/>
          <w:sz w:val="24"/>
          <w:szCs w:val="24"/>
        </w:rPr>
        <w:t>и се съпоставят с годишният бюджет за 2024 г. за същата основна група, формиран съгласно §</w:t>
      </w:r>
      <w:r w:rsidR="00E50C51" w:rsidRPr="00BA36B1">
        <w:rPr>
          <w:rFonts w:ascii="Times New Roman" w:hAnsi="Times New Roman" w:cs="Times New Roman"/>
          <w:sz w:val="24"/>
          <w:szCs w:val="24"/>
        </w:rPr>
        <w:t>4</w:t>
      </w:r>
      <w:r w:rsidRPr="00BA36B1">
        <w:rPr>
          <w:rFonts w:ascii="Times New Roman" w:hAnsi="Times New Roman" w:cs="Times New Roman"/>
          <w:sz w:val="24"/>
          <w:szCs w:val="24"/>
        </w:rPr>
        <w:t xml:space="preserve"> от Механизъм за допълнение на Механизма, гарантиращ предвидимост и устойчивост на бюджета</w:t>
      </w:r>
      <w:r w:rsidRPr="00BA36B1">
        <w:rPr>
          <w:rFonts w:ascii="Times New Roman" w:hAnsi="Times New Roman" w:cs="Times New Roman"/>
          <w:color w:val="000000"/>
          <w:sz w:val="24"/>
          <w:szCs w:val="24"/>
        </w:rPr>
        <w:t xml:space="preserve"> на НЗОК за 2024 г. за лекарствените продукти, заплащани напълно или частично със средства от бюджета на НЗОК</w:t>
      </w:r>
      <w:r w:rsidR="00BA36B1" w:rsidRPr="00BA36B1">
        <w:rPr>
          <w:rFonts w:ascii="Times New Roman" w:hAnsi="Times New Roman" w:cs="Times New Roman"/>
          <w:color w:val="000000"/>
          <w:sz w:val="24"/>
          <w:szCs w:val="24"/>
          <w:lang w:val="en-US"/>
        </w:rPr>
        <w:t>.</w:t>
      </w:r>
    </w:p>
    <w:p w14:paraId="2214C68E" w14:textId="1D1AD941" w:rsidR="00E50C51" w:rsidRPr="00BA36B1" w:rsidRDefault="00E50C51" w:rsidP="00D72EB4">
      <w:pPr>
        <w:autoSpaceDE w:val="0"/>
        <w:autoSpaceDN w:val="0"/>
        <w:adjustRightInd w:val="0"/>
        <w:spacing w:after="0" w:line="271" w:lineRule="auto"/>
        <w:ind w:firstLine="360"/>
        <w:jc w:val="both"/>
        <w:textAlignment w:val="center"/>
        <w:rPr>
          <w:rFonts w:ascii="Times New Roman" w:hAnsi="Times New Roman" w:cs="Times New Roman"/>
          <w:sz w:val="24"/>
          <w:szCs w:val="24"/>
        </w:rPr>
      </w:pPr>
      <w:r w:rsidRPr="00BA36B1">
        <w:rPr>
          <w:rFonts w:ascii="Times New Roman" w:hAnsi="Times New Roman" w:cs="Times New Roman"/>
          <w:sz w:val="24"/>
          <w:szCs w:val="24"/>
        </w:rPr>
        <w:t xml:space="preserve">Независимо дали е налице превишение по смисъла на чл.6, ал.2, т.6, изречение второ, се прилагат </w:t>
      </w:r>
      <w:r w:rsidRPr="00BA36B1">
        <w:rPr>
          <w:rFonts w:ascii="Times New Roman" w:hAnsi="Times New Roman" w:cs="Times New Roman"/>
          <w:color w:val="000000"/>
          <w:sz w:val="24"/>
          <w:szCs w:val="24"/>
        </w:rPr>
        <w:t>§6 и §7</w:t>
      </w:r>
      <w:r w:rsidR="00D72EB4" w:rsidRPr="00BA36B1">
        <w:rPr>
          <w:rFonts w:ascii="Times New Roman" w:hAnsi="Times New Roman" w:cs="Times New Roman"/>
          <w:color w:val="000000"/>
          <w:sz w:val="24"/>
          <w:szCs w:val="24"/>
        </w:rPr>
        <w:t xml:space="preserve"> на </w:t>
      </w:r>
      <w:bookmarkStart w:id="2" w:name="_Hlk185242673"/>
      <w:r w:rsidR="00D72EB4" w:rsidRPr="00BA36B1">
        <w:rPr>
          <w:rFonts w:ascii="Times New Roman" w:hAnsi="Times New Roman" w:cs="Times New Roman"/>
          <w:color w:val="000000"/>
          <w:sz w:val="24"/>
          <w:szCs w:val="24"/>
        </w:rPr>
        <w:t>Механизъм за допълнение на Механиз</w:t>
      </w:r>
      <w:r w:rsidR="00BA36B1">
        <w:rPr>
          <w:rFonts w:ascii="Times New Roman" w:hAnsi="Times New Roman" w:cs="Times New Roman"/>
          <w:color w:val="000000"/>
          <w:sz w:val="24"/>
          <w:szCs w:val="24"/>
        </w:rPr>
        <w:t>ма</w:t>
      </w:r>
      <w:r w:rsidR="00784827" w:rsidRPr="00BA36B1">
        <w:rPr>
          <w:rFonts w:ascii="Times New Roman" w:hAnsi="Times New Roman" w:cs="Times New Roman"/>
          <w:color w:val="000000"/>
          <w:sz w:val="24"/>
          <w:szCs w:val="24"/>
        </w:rPr>
        <w:t xml:space="preserve"> 2024г.</w:t>
      </w:r>
    </w:p>
    <w:bookmarkEnd w:id="2"/>
    <w:p w14:paraId="1211EA1D" w14:textId="52048FD2" w:rsidR="00E50C51" w:rsidRPr="00BA36B1" w:rsidRDefault="00E50C51" w:rsidP="00E50C51">
      <w:pPr>
        <w:autoSpaceDE w:val="0"/>
        <w:autoSpaceDN w:val="0"/>
        <w:adjustRightInd w:val="0"/>
        <w:spacing w:after="0" w:line="271" w:lineRule="auto"/>
        <w:ind w:firstLine="360"/>
        <w:jc w:val="both"/>
        <w:textAlignment w:val="center"/>
        <w:rPr>
          <w:rFonts w:ascii="Times New Roman" w:hAnsi="Times New Roman" w:cs="Times New Roman"/>
          <w:sz w:val="24"/>
          <w:szCs w:val="24"/>
        </w:rPr>
      </w:pPr>
      <w:r w:rsidRPr="00BA36B1">
        <w:rPr>
          <w:rFonts w:ascii="Times New Roman" w:hAnsi="Times New Roman" w:cs="Times New Roman"/>
          <w:sz w:val="24"/>
          <w:szCs w:val="24"/>
          <w:lang w:val="en-US"/>
        </w:rPr>
        <w:t xml:space="preserve"> </w:t>
      </w:r>
      <w:r w:rsidRPr="00BA36B1">
        <w:rPr>
          <w:rFonts w:ascii="Times New Roman" w:hAnsi="Times New Roman" w:cs="Times New Roman"/>
          <w:sz w:val="24"/>
          <w:szCs w:val="24"/>
        </w:rPr>
        <w:t xml:space="preserve">При извършване на годишното изчисляване и изравняване по </w:t>
      </w:r>
      <w:r w:rsidR="00784827" w:rsidRPr="00BA36B1">
        <w:rPr>
          <w:rFonts w:ascii="Times New Roman" w:hAnsi="Times New Roman" w:cs="Times New Roman"/>
          <w:sz w:val="24"/>
          <w:szCs w:val="24"/>
        </w:rPr>
        <w:t>т.</w:t>
      </w:r>
      <w:r w:rsidR="00784827" w:rsidRPr="00BA36B1">
        <w:rPr>
          <w:rFonts w:ascii="Times New Roman" w:hAnsi="Times New Roman" w:cs="Times New Roman"/>
          <w:sz w:val="24"/>
          <w:szCs w:val="24"/>
          <w:lang w:val="en-US"/>
        </w:rPr>
        <w:t xml:space="preserve">VII </w:t>
      </w:r>
      <w:r w:rsidRPr="00BA36B1">
        <w:rPr>
          <w:rFonts w:ascii="Times New Roman" w:hAnsi="Times New Roman" w:cs="Times New Roman"/>
          <w:sz w:val="24"/>
          <w:szCs w:val="24"/>
        </w:rPr>
        <w:t xml:space="preserve">за основна група „Б“, на годишна база, за календарната 2024 г. </w:t>
      </w:r>
      <w:r w:rsidRPr="00BA36B1">
        <w:rPr>
          <w:rFonts w:ascii="Times New Roman" w:hAnsi="Times New Roman" w:cs="Times New Roman"/>
          <w:color w:val="000000"/>
          <w:sz w:val="24"/>
          <w:szCs w:val="24"/>
        </w:rPr>
        <w:t>Механизмът за 2024 г. се прилага за основна група „Б“ при условията на §6 и §7</w:t>
      </w:r>
      <w:r w:rsidR="00D72EB4" w:rsidRPr="00BA36B1">
        <w:rPr>
          <w:rFonts w:ascii="Times New Roman" w:hAnsi="Times New Roman" w:cs="Times New Roman"/>
          <w:color w:val="000000"/>
          <w:sz w:val="24"/>
          <w:szCs w:val="24"/>
        </w:rPr>
        <w:t xml:space="preserve"> </w:t>
      </w:r>
      <w:r w:rsidR="00784827" w:rsidRPr="00BA36B1">
        <w:rPr>
          <w:rFonts w:ascii="Times New Roman" w:hAnsi="Times New Roman" w:cs="Times New Roman"/>
          <w:color w:val="000000"/>
          <w:sz w:val="24"/>
          <w:szCs w:val="24"/>
        </w:rPr>
        <w:t>на Механизъм за допълнение на Механизъм 2024г.</w:t>
      </w:r>
      <w:r w:rsidRPr="00BA36B1">
        <w:rPr>
          <w:rFonts w:ascii="Times New Roman" w:hAnsi="Times New Roman" w:cs="Times New Roman"/>
          <w:color w:val="000000"/>
          <w:sz w:val="24"/>
          <w:szCs w:val="24"/>
        </w:rPr>
        <w:t xml:space="preserve"> </w:t>
      </w:r>
      <w:r w:rsidRPr="00BA36B1">
        <w:rPr>
          <w:rFonts w:ascii="Times New Roman" w:hAnsi="Times New Roman" w:cs="Times New Roman"/>
          <w:sz w:val="24"/>
          <w:szCs w:val="24"/>
        </w:rPr>
        <w:t>с цел:</w:t>
      </w:r>
    </w:p>
    <w:p w14:paraId="544F1AAC" w14:textId="77777777" w:rsidR="00E50C51" w:rsidRPr="00BA36B1" w:rsidRDefault="00E50C51" w:rsidP="00E50C51">
      <w:pPr>
        <w:autoSpaceDE w:val="0"/>
        <w:autoSpaceDN w:val="0"/>
        <w:adjustRightInd w:val="0"/>
        <w:spacing w:after="0" w:line="271" w:lineRule="auto"/>
        <w:ind w:firstLine="360"/>
        <w:jc w:val="both"/>
        <w:textAlignment w:val="center"/>
        <w:rPr>
          <w:rFonts w:ascii="Times New Roman" w:hAnsi="Times New Roman" w:cs="Times New Roman"/>
          <w:sz w:val="24"/>
          <w:szCs w:val="24"/>
        </w:rPr>
      </w:pPr>
      <w:r w:rsidRPr="00BA36B1">
        <w:rPr>
          <w:rFonts w:ascii="Times New Roman" w:hAnsi="Times New Roman" w:cs="Times New Roman"/>
          <w:sz w:val="24"/>
          <w:szCs w:val="24"/>
        </w:rPr>
        <w:t>1. установяване на наличието и размера на окончателно годишно превишение, за календарната 2024 г.;</w:t>
      </w:r>
    </w:p>
    <w:p w14:paraId="79BF24E7" w14:textId="77777777" w:rsidR="00E50C51" w:rsidRPr="00BA36B1" w:rsidRDefault="00E50C51" w:rsidP="00E50C51">
      <w:pPr>
        <w:autoSpaceDE w:val="0"/>
        <w:autoSpaceDN w:val="0"/>
        <w:adjustRightInd w:val="0"/>
        <w:spacing w:after="0" w:line="271" w:lineRule="auto"/>
        <w:ind w:firstLine="360"/>
        <w:jc w:val="both"/>
        <w:textAlignment w:val="center"/>
        <w:rPr>
          <w:rFonts w:ascii="Times New Roman" w:hAnsi="Times New Roman" w:cs="Times New Roman"/>
          <w:color w:val="000000"/>
          <w:sz w:val="24"/>
          <w:szCs w:val="24"/>
        </w:rPr>
      </w:pPr>
      <w:r w:rsidRPr="00BA36B1">
        <w:rPr>
          <w:rFonts w:ascii="Times New Roman" w:hAnsi="Times New Roman" w:cs="Times New Roman"/>
          <w:sz w:val="24"/>
          <w:szCs w:val="24"/>
        </w:rPr>
        <w:t xml:space="preserve"> </w:t>
      </w:r>
      <w:bookmarkStart w:id="3" w:name="_Hlk184649291"/>
      <w:r w:rsidRPr="00BA36B1">
        <w:rPr>
          <w:rFonts w:ascii="Times New Roman" w:hAnsi="Times New Roman" w:cs="Times New Roman"/>
          <w:sz w:val="24"/>
          <w:szCs w:val="24"/>
        </w:rPr>
        <w:t xml:space="preserve">2. използване на общия размер на определените с решения на Надзорния съвет на НЗОК на основание </w:t>
      </w:r>
      <w:hyperlink r:id="rId6" w:history="1">
        <w:r w:rsidRPr="00BA36B1">
          <w:rPr>
            <w:rFonts w:ascii="Times New Roman" w:hAnsi="Times New Roman" w:cs="Times New Roman"/>
            <w:sz w:val="24"/>
            <w:szCs w:val="24"/>
          </w:rPr>
          <w:t>чл. 15, ал. 1, т. 7</w:t>
        </w:r>
      </w:hyperlink>
      <w:r w:rsidRPr="00BA36B1">
        <w:rPr>
          <w:rFonts w:ascii="Times New Roman" w:hAnsi="Times New Roman" w:cs="Times New Roman"/>
          <w:sz w:val="24"/>
          <w:szCs w:val="24"/>
        </w:rPr>
        <w:t xml:space="preserve"> от ЗЗО и § 1, ал.1 от ПЗР на ЗБНЗОК за 2024 г. допълнителни средства за основна група „Б“, за второ, за трето и за четвърто тримесечие на 2024 г., само за </w:t>
      </w:r>
      <w:r w:rsidRPr="00BA36B1">
        <w:rPr>
          <w:rFonts w:ascii="Times New Roman" w:hAnsi="Times New Roman" w:cs="Times New Roman"/>
          <w:color w:val="000000"/>
          <w:sz w:val="24"/>
          <w:szCs w:val="24"/>
        </w:rPr>
        <w:t>компенсиране на увеличението на нетните разходи за лекарствените продукти за сърдечно-съдови заболявания с увеличено на 100% ниво на заплащане от 01.04.2024г.;</w:t>
      </w:r>
    </w:p>
    <w:p w14:paraId="34F7ABC1" w14:textId="533B5314" w:rsidR="00E50C51" w:rsidRPr="00BA36B1" w:rsidRDefault="00E50C51" w:rsidP="00E50C51">
      <w:pPr>
        <w:autoSpaceDE w:val="0"/>
        <w:autoSpaceDN w:val="0"/>
        <w:adjustRightInd w:val="0"/>
        <w:spacing w:after="0" w:line="271" w:lineRule="auto"/>
        <w:ind w:firstLine="360"/>
        <w:jc w:val="both"/>
        <w:textAlignment w:val="center"/>
        <w:rPr>
          <w:rFonts w:ascii="Times New Roman" w:hAnsi="Times New Roman" w:cs="Times New Roman"/>
          <w:sz w:val="24"/>
          <w:szCs w:val="24"/>
        </w:rPr>
      </w:pPr>
      <w:r w:rsidRPr="00BA36B1">
        <w:rPr>
          <w:rFonts w:ascii="Times New Roman" w:hAnsi="Times New Roman" w:cs="Times New Roman"/>
          <w:color w:val="000000"/>
          <w:sz w:val="24"/>
          <w:szCs w:val="24"/>
        </w:rPr>
        <w:lastRenderedPageBreak/>
        <w:t>3. преизчисляване, съобразно условието по т.</w:t>
      </w:r>
      <w:r w:rsidR="00784827" w:rsidRPr="00BA36B1">
        <w:rPr>
          <w:rFonts w:ascii="Times New Roman" w:hAnsi="Times New Roman" w:cs="Times New Roman"/>
          <w:color w:val="000000"/>
          <w:sz w:val="24"/>
          <w:szCs w:val="24"/>
          <w:lang w:val="en-US"/>
        </w:rPr>
        <w:t>VII</w:t>
      </w:r>
      <w:r w:rsidRPr="00BA36B1">
        <w:rPr>
          <w:rFonts w:ascii="Times New Roman" w:hAnsi="Times New Roman" w:cs="Times New Roman"/>
          <w:color w:val="000000"/>
          <w:sz w:val="24"/>
          <w:szCs w:val="24"/>
        </w:rPr>
        <w:t>, и определяне на окончателно дължимите от отделните ПРУ суми по Механизма за 2024 г. за лекарствените им продукти, включени в основна група „Б“ – както за ПРУ, които притежават разрешения за употреба на лекарствени продукти, които не са с повишено на 100% ниво на реимбурсация, така и за ПРУ, които са притежатели на разрешенията за употреба на такива продукти.</w:t>
      </w:r>
    </w:p>
    <w:p w14:paraId="3697F28A" w14:textId="5AAC9EA6" w:rsidR="00784827" w:rsidRPr="00BA36B1" w:rsidRDefault="00E50C51" w:rsidP="00784827">
      <w:pPr>
        <w:autoSpaceDE w:val="0"/>
        <w:autoSpaceDN w:val="0"/>
        <w:adjustRightInd w:val="0"/>
        <w:spacing w:after="0" w:line="271" w:lineRule="auto"/>
        <w:ind w:firstLine="360"/>
        <w:jc w:val="both"/>
        <w:textAlignment w:val="center"/>
        <w:rPr>
          <w:rFonts w:ascii="Times New Roman" w:hAnsi="Times New Roman" w:cs="Times New Roman"/>
          <w:color w:val="000000"/>
          <w:sz w:val="24"/>
          <w:szCs w:val="24"/>
          <w:lang w:val="en-US"/>
        </w:rPr>
      </w:pPr>
      <w:r w:rsidRPr="00BA36B1">
        <w:rPr>
          <w:rFonts w:ascii="Times New Roman" w:hAnsi="Times New Roman" w:cs="Times New Roman"/>
          <w:color w:val="000000"/>
          <w:sz w:val="24"/>
          <w:szCs w:val="24"/>
        </w:rPr>
        <w:t>При годишното изчисляване и изравняване на дължимите суми по Механизма за 2024 г.</w:t>
      </w:r>
      <w:r w:rsidR="00784827" w:rsidRPr="00BA36B1">
        <w:rPr>
          <w:rFonts w:ascii="Times New Roman" w:hAnsi="Times New Roman" w:cs="Times New Roman"/>
          <w:color w:val="000000"/>
          <w:sz w:val="24"/>
          <w:szCs w:val="24"/>
          <w:lang w:val="en-US"/>
        </w:rPr>
        <w:t xml:space="preserve"> </w:t>
      </w:r>
      <w:r w:rsidRPr="00BA36B1">
        <w:rPr>
          <w:rFonts w:ascii="Times New Roman" w:hAnsi="Times New Roman" w:cs="Times New Roman"/>
          <w:color w:val="000000"/>
          <w:sz w:val="24"/>
          <w:szCs w:val="24"/>
        </w:rPr>
        <w:t>лекарствените продукти от основна група „Б“ се разделят на две</w:t>
      </w:r>
      <w:r w:rsidR="00BA36B1">
        <w:rPr>
          <w:rFonts w:ascii="Times New Roman" w:hAnsi="Times New Roman" w:cs="Times New Roman"/>
          <w:color w:val="000000"/>
          <w:sz w:val="24"/>
          <w:szCs w:val="24"/>
          <w:lang w:val="en-US"/>
        </w:rPr>
        <w:t>:</w:t>
      </w:r>
      <w:r w:rsidRPr="00BA36B1">
        <w:rPr>
          <w:rFonts w:ascii="Times New Roman" w:hAnsi="Times New Roman" w:cs="Times New Roman"/>
          <w:color w:val="000000"/>
          <w:sz w:val="24"/>
          <w:szCs w:val="24"/>
        </w:rPr>
        <w:t xml:space="preserve"> </w:t>
      </w:r>
    </w:p>
    <w:p w14:paraId="0ED868D7" w14:textId="520970CF" w:rsidR="00BA36B1" w:rsidRPr="00BA36B1" w:rsidRDefault="00E50C51" w:rsidP="00BA36B1">
      <w:pPr>
        <w:pStyle w:val="ListParagraph"/>
        <w:numPr>
          <w:ilvl w:val="0"/>
          <w:numId w:val="9"/>
        </w:numPr>
        <w:autoSpaceDE w:val="0"/>
        <w:autoSpaceDN w:val="0"/>
        <w:adjustRightInd w:val="0"/>
        <w:spacing w:after="0" w:line="271" w:lineRule="auto"/>
        <w:jc w:val="both"/>
        <w:textAlignment w:val="center"/>
        <w:rPr>
          <w:rFonts w:ascii="Times New Roman" w:hAnsi="Times New Roman" w:cs="Times New Roman"/>
          <w:sz w:val="24"/>
          <w:szCs w:val="24"/>
        </w:rPr>
      </w:pPr>
      <w:r w:rsidRPr="00BA36B1">
        <w:rPr>
          <w:rFonts w:ascii="Times New Roman" w:hAnsi="Times New Roman" w:cs="Times New Roman"/>
          <w:color w:val="000000"/>
          <w:sz w:val="24"/>
          <w:szCs w:val="24"/>
        </w:rPr>
        <w:t xml:space="preserve">условна група Б1 „Лекарствени продукти без увеличено на 100% ниво на заплащане от НЗОК от 1.04.2024 г. и </w:t>
      </w:r>
    </w:p>
    <w:p w14:paraId="2D95E140" w14:textId="284AA0D9" w:rsidR="00E50C51" w:rsidRPr="00BA36B1" w:rsidRDefault="00E50C51" w:rsidP="00BA36B1">
      <w:pPr>
        <w:pStyle w:val="ListParagraph"/>
        <w:numPr>
          <w:ilvl w:val="0"/>
          <w:numId w:val="9"/>
        </w:numPr>
        <w:autoSpaceDE w:val="0"/>
        <w:autoSpaceDN w:val="0"/>
        <w:adjustRightInd w:val="0"/>
        <w:spacing w:after="0" w:line="271" w:lineRule="auto"/>
        <w:jc w:val="both"/>
        <w:textAlignment w:val="center"/>
        <w:rPr>
          <w:rFonts w:ascii="Times New Roman" w:hAnsi="Times New Roman" w:cs="Times New Roman"/>
          <w:sz w:val="24"/>
          <w:szCs w:val="24"/>
        </w:rPr>
      </w:pPr>
      <w:r w:rsidRPr="00BA36B1">
        <w:rPr>
          <w:rFonts w:ascii="Times New Roman" w:hAnsi="Times New Roman" w:cs="Times New Roman"/>
          <w:color w:val="000000"/>
          <w:sz w:val="24"/>
          <w:szCs w:val="24"/>
        </w:rPr>
        <w:t xml:space="preserve">условна група Б2 „Лекарствени продукти за лечение на сърдечно-съдови заболявания, с повишено на 100% ниво на заплащане от НЗОК от 1.04.2024 г. </w:t>
      </w:r>
    </w:p>
    <w:p w14:paraId="69EF20C0" w14:textId="77777777" w:rsidR="00E50C51" w:rsidRPr="00BA36B1" w:rsidRDefault="00E50C51" w:rsidP="00BA36B1">
      <w:pPr>
        <w:pStyle w:val="ListParagraph"/>
        <w:keepNext/>
        <w:autoSpaceDE w:val="0"/>
        <w:autoSpaceDN w:val="0"/>
        <w:adjustRightInd w:val="0"/>
        <w:spacing w:after="0" w:line="269" w:lineRule="auto"/>
        <w:ind w:left="0" w:firstLine="426"/>
        <w:jc w:val="both"/>
        <w:textAlignment w:val="center"/>
        <w:rPr>
          <w:color w:val="000000"/>
          <w:sz w:val="24"/>
          <w:szCs w:val="24"/>
        </w:rPr>
      </w:pPr>
      <w:r w:rsidRPr="00BA36B1">
        <w:rPr>
          <w:rFonts w:ascii="Times New Roman" w:hAnsi="Times New Roman" w:cs="Times New Roman"/>
          <w:sz w:val="24"/>
          <w:szCs w:val="24"/>
        </w:rPr>
        <w:t xml:space="preserve">Първоначално определеният годишен бюджет за 2024 г. за основна група „Б“, формиран от средствата за здравноосигурителни плащания, определени в чл. 1, ал. 2, ред 1.1.3.5.3.2. от ЗБНЗОК за 2024 г., </w:t>
      </w:r>
      <w:r w:rsidRPr="00BA36B1">
        <w:rPr>
          <w:rFonts w:ascii="Times New Roman" w:hAnsi="Times New Roman" w:cs="Times New Roman"/>
          <w:color w:val="000000"/>
          <w:sz w:val="24"/>
          <w:szCs w:val="24"/>
        </w:rPr>
        <w:t>се разделя на две части, с решение на надзорния съвет на НЗОК</w:t>
      </w:r>
      <w:r w:rsidRPr="00BA36B1">
        <w:rPr>
          <w:rFonts w:ascii="Times New Roman" w:hAnsi="Times New Roman" w:cs="Times New Roman"/>
          <w:color w:val="000000"/>
          <w:sz w:val="24"/>
          <w:szCs w:val="24"/>
          <w:lang w:val="en-US"/>
        </w:rPr>
        <w:t>:</w:t>
      </w:r>
    </w:p>
    <w:p w14:paraId="15C8510D" w14:textId="77777777" w:rsidR="00E50C51" w:rsidRPr="00BA36B1" w:rsidRDefault="00E50C51" w:rsidP="00E50C51">
      <w:pPr>
        <w:pStyle w:val="ListParagraph"/>
        <w:keepNext/>
        <w:autoSpaceDE w:val="0"/>
        <w:autoSpaceDN w:val="0"/>
        <w:adjustRightInd w:val="0"/>
        <w:spacing w:after="0" w:line="269" w:lineRule="auto"/>
        <w:ind w:left="0" w:firstLine="426"/>
        <w:jc w:val="both"/>
        <w:textAlignment w:val="center"/>
        <w:rPr>
          <w:rFonts w:ascii="Times New Roman" w:hAnsi="Times New Roman" w:cs="Times New Roman"/>
          <w:color w:val="000000"/>
          <w:sz w:val="24"/>
          <w:szCs w:val="24"/>
        </w:rPr>
      </w:pPr>
      <w:r w:rsidRPr="00BA36B1">
        <w:rPr>
          <w:rFonts w:ascii="Times New Roman" w:hAnsi="Times New Roman" w:cs="Times New Roman"/>
          <w:sz w:val="24"/>
          <w:szCs w:val="24"/>
        </w:rPr>
        <w:t>а</w:t>
      </w:r>
      <w:r w:rsidRPr="00BA36B1">
        <w:rPr>
          <w:rFonts w:ascii="Times New Roman" w:hAnsi="Times New Roman" w:cs="Times New Roman"/>
          <w:sz w:val="24"/>
          <w:szCs w:val="24"/>
          <w:lang w:val="en-US"/>
        </w:rPr>
        <w:t>)</w:t>
      </w:r>
      <w:r w:rsidRPr="00BA36B1">
        <w:rPr>
          <w:rFonts w:ascii="Times New Roman" w:hAnsi="Times New Roman" w:cs="Times New Roman"/>
          <w:color w:val="000000"/>
          <w:sz w:val="24"/>
          <w:szCs w:val="24"/>
        </w:rPr>
        <w:t xml:space="preserve"> част за условна група Б1 „Лекарствени продукти без увеличено на 100% ниво на заплащане от НЗОК от 1.04.2024 г.“ и </w:t>
      </w:r>
    </w:p>
    <w:p w14:paraId="40DA1765" w14:textId="77777777" w:rsidR="00E50C51" w:rsidRPr="00BA36B1" w:rsidRDefault="00E50C51" w:rsidP="00E50C51">
      <w:pPr>
        <w:pStyle w:val="ListParagraph"/>
        <w:keepNext/>
        <w:autoSpaceDE w:val="0"/>
        <w:autoSpaceDN w:val="0"/>
        <w:adjustRightInd w:val="0"/>
        <w:spacing w:after="0" w:line="269" w:lineRule="auto"/>
        <w:ind w:left="0" w:firstLine="426"/>
        <w:jc w:val="both"/>
        <w:textAlignment w:val="center"/>
        <w:rPr>
          <w:rFonts w:ascii="Times New Roman" w:hAnsi="Times New Roman" w:cs="Times New Roman"/>
          <w:color w:val="000000"/>
          <w:sz w:val="24"/>
          <w:szCs w:val="24"/>
        </w:rPr>
      </w:pPr>
      <w:r w:rsidRPr="00BA36B1">
        <w:rPr>
          <w:rFonts w:ascii="Times New Roman" w:hAnsi="Times New Roman" w:cs="Times New Roman"/>
          <w:sz w:val="24"/>
          <w:szCs w:val="24"/>
        </w:rPr>
        <w:t>б</w:t>
      </w:r>
      <w:r w:rsidRPr="00BA36B1">
        <w:rPr>
          <w:rFonts w:ascii="Times New Roman" w:hAnsi="Times New Roman" w:cs="Times New Roman"/>
          <w:sz w:val="24"/>
          <w:szCs w:val="24"/>
          <w:lang w:val="en-US"/>
        </w:rPr>
        <w:t>)</w:t>
      </w:r>
      <w:r w:rsidRPr="00BA36B1">
        <w:rPr>
          <w:rFonts w:ascii="Times New Roman" w:hAnsi="Times New Roman" w:cs="Times New Roman"/>
          <w:sz w:val="24"/>
          <w:szCs w:val="24"/>
        </w:rPr>
        <w:t xml:space="preserve"> </w:t>
      </w:r>
      <w:r w:rsidRPr="00BA36B1">
        <w:rPr>
          <w:rFonts w:ascii="Times New Roman" w:hAnsi="Times New Roman" w:cs="Times New Roman"/>
          <w:color w:val="000000"/>
          <w:sz w:val="24"/>
          <w:szCs w:val="24"/>
        </w:rPr>
        <w:t>част за условна група Б2 „Лекарствени продукти за лечение на сърдечно-съдови заболявания, с повишено на 100% ниво на заплащане от НЗОК от 1.04.2024 г.“.</w:t>
      </w:r>
    </w:p>
    <w:p w14:paraId="09C055F6" w14:textId="4B077BF7" w:rsidR="00E50C51" w:rsidRPr="00BA36B1" w:rsidRDefault="00E50C51" w:rsidP="00E50C51">
      <w:pPr>
        <w:keepNext/>
        <w:autoSpaceDE w:val="0"/>
        <w:autoSpaceDN w:val="0"/>
        <w:adjustRightInd w:val="0"/>
        <w:spacing w:after="0" w:line="269" w:lineRule="auto"/>
        <w:ind w:firstLine="426"/>
        <w:jc w:val="both"/>
        <w:textAlignment w:val="center"/>
        <w:rPr>
          <w:rFonts w:ascii="Times New Roman" w:hAnsi="Times New Roman" w:cs="Times New Roman"/>
          <w:sz w:val="24"/>
          <w:szCs w:val="24"/>
        </w:rPr>
      </w:pPr>
      <w:r w:rsidRPr="00BA36B1">
        <w:rPr>
          <w:rFonts w:ascii="Times New Roman" w:hAnsi="Times New Roman" w:cs="Times New Roman"/>
          <w:color w:val="000000"/>
          <w:sz w:val="24"/>
          <w:szCs w:val="24"/>
        </w:rPr>
        <w:t xml:space="preserve">Съответните части за условните групи Б1 и Б2 в основна група „Б“ се определят пропорционално на дела на нетните разходи за съответните лекарствени продукти през 2023г., отнесен към </w:t>
      </w:r>
      <w:r w:rsidRPr="00BA36B1">
        <w:rPr>
          <w:rFonts w:ascii="Times New Roman" w:hAnsi="Times New Roman" w:cs="Times New Roman"/>
          <w:sz w:val="24"/>
          <w:szCs w:val="24"/>
        </w:rPr>
        <w:t>първоначално определеният годишен бюджет за 2024 г. за основна група „Б“, формиран от средствата за здравноосигурителни плащания, определени в чл. 1, ал. 2, ред 1.1.3.5.3.2. от ЗБНЗОК за 2024 г.</w:t>
      </w:r>
    </w:p>
    <w:p w14:paraId="32AE70CC" w14:textId="47573A6C" w:rsidR="00E50C51" w:rsidRPr="00BA36B1" w:rsidRDefault="00E50C51" w:rsidP="0073360A">
      <w:pPr>
        <w:spacing w:after="0" w:line="276" w:lineRule="auto"/>
        <w:ind w:firstLine="426"/>
        <w:jc w:val="both"/>
        <w:rPr>
          <w:rFonts w:ascii="Times New Roman" w:hAnsi="Times New Roman" w:cs="Times New Roman"/>
          <w:color w:val="000000"/>
          <w:sz w:val="24"/>
          <w:szCs w:val="24"/>
        </w:rPr>
      </w:pPr>
      <w:r w:rsidRPr="00BA36B1">
        <w:rPr>
          <w:rFonts w:ascii="Times New Roman" w:hAnsi="Times New Roman" w:cs="Times New Roman"/>
          <w:color w:val="000000"/>
          <w:sz w:val="24"/>
          <w:szCs w:val="24"/>
        </w:rPr>
        <w:t>Определената част за условна група Б1 представлява годишния бюджет за 2024 г. за тази условна група.</w:t>
      </w:r>
    </w:p>
    <w:p w14:paraId="6929FEF3" w14:textId="72AA5D52" w:rsidR="00E50C51" w:rsidRPr="00BA36B1" w:rsidRDefault="00E50C51" w:rsidP="0073360A">
      <w:pPr>
        <w:spacing w:after="0" w:line="276" w:lineRule="auto"/>
        <w:ind w:firstLine="426"/>
        <w:jc w:val="both"/>
        <w:rPr>
          <w:rFonts w:ascii="Times New Roman" w:hAnsi="Times New Roman" w:cs="Times New Roman"/>
          <w:sz w:val="24"/>
          <w:szCs w:val="24"/>
        </w:rPr>
      </w:pPr>
      <w:r w:rsidRPr="00BA36B1">
        <w:rPr>
          <w:rFonts w:ascii="Times New Roman" w:hAnsi="Times New Roman" w:cs="Times New Roman"/>
          <w:color w:val="000000"/>
          <w:sz w:val="24"/>
          <w:szCs w:val="24"/>
        </w:rPr>
        <w:t>Към определената съобразно</w:t>
      </w:r>
      <w:r w:rsidR="0073360A">
        <w:rPr>
          <w:rFonts w:ascii="Times New Roman" w:hAnsi="Times New Roman" w:cs="Times New Roman"/>
          <w:color w:val="000000"/>
          <w:sz w:val="24"/>
          <w:szCs w:val="24"/>
          <w:lang w:val="en-US"/>
        </w:rPr>
        <w:t xml:space="preserve"> </w:t>
      </w:r>
      <w:r w:rsidRPr="00BA36B1">
        <w:rPr>
          <w:rFonts w:ascii="Times New Roman" w:hAnsi="Times New Roman" w:cs="Times New Roman"/>
          <w:color w:val="000000"/>
          <w:sz w:val="24"/>
          <w:szCs w:val="24"/>
        </w:rPr>
        <w:t xml:space="preserve">част за условна група Б2 „Лекарствени продукти за лечение на сърдечно-съдови заболявания, с повишено на 100% ниво на заплащане от НЗОК от 1.04.2024 г.“ се прибавя  и </w:t>
      </w:r>
      <w:r w:rsidRPr="00BA36B1">
        <w:rPr>
          <w:rFonts w:ascii="Times New Roman" w:hAnsi="Times New Roman" w:cs="Times New Roman"/>
          <w:sz w:val="24"/>
          <w:szCs w:val="24"/>
        </w:rPr>
        <w:t xml:space="preserve">общия размер на определените с решения на Надзорния съвет на НЗОК на основание </w:t>
      </w:r>
      <w:hyperlink r:id="rId7" w:history="1">
        <w:r w:rsidRPr="00BA36B1">
          <w:rPr>
            <w:rFonts w:ascii="Times New Roman" w:hAnsi="Times New Roman" w:cs="Times New Roman"/>
            <w:sz w:val="24"/>
            <w:szCs w:val="24"/>
          </w:rPr>
          <w:t>чл. 15, ал. 1, т. 7</w:t>
        </w:r>
      </w:hyperlink>
      <w:r w:rsidRPr="00BA36B1">
        <w:rPr>
          <w:rFonts w:ascii="Times New Roman" w:hAnsi="Times New Roman" w:cs="Times New Roman"/>
          <w:sz w:val="24"/>
          <w:szCs w:val="24"/>
        </w:rPr>
        <w:t xml:space="preserve"> от ЗЗО и § 1, ал.1 от ПЗР на ЗБНЗОК за 2024 г. допълнителни целеви средства. Сборът формира годишния бюджет за 2024 г. за</w:t>
      </w:r>
      <w:r w:rsidRPr="00BA36B1">
        <w:rPr>
          <w:rFonts w:ascii="Times New Roman" w:hAnsi="Times New Roman" w:cs="Times New Roman"/>
          <w:color w:val="000000"/>
          <w:sz w:val="24"/>
          <w:szCs w:val="24"/>
        </w:rPr>
        <w:t xml:space="preserve"> условна група Б2</w:t>
      </w:r>
      <w:r w:rsidRPr="00BA36B1">
        <w:rPr>
          <w:rFonts w:ascii="Times New Roman" w:hAnsi="Times New Roman" w:cs="Times New Roman"/>
          <w:sz w:val="24"/>
          <w:szCs w:val="24"/>
        </w:rPr>
        <w:t>.</w:t>
      </w:r>
    </w:p>
    <w:p w14:paraId="0B269D00" w14:textId="5FDD4E59" w:rsidR="00E50C51" w:rsidRPr="00BA36B1" w:rsidRDefault="00E50C51" w:rsidP="00E50C51">
      <w:pPr>
        <w:keepNext/>
        <w:autoSpaceDE w:val="0"/>
        <w:autoSpaceDN w:val="0"/>
        <w:adjustRightInd w:val="0"/>
        <w:spacing w:after="0" w:line="269" w:lineRule="auto"/>
        <w:ind w:firstLine="426"/>
        <w:jc w:val="both"/>
        <w:textAlignment w:val="center"/>
        <w:rPr>
          <w:rFonts w:ascii="Times New Roman" w:hAnsi="Times New Roman" w:cs="Times New Roman"/>
          <w:color w:val="000000"/>
          <w:sz w:val="24"/>
          <w:szCs w:val="24"/>
        </w:rPr>
      </w:pPr>
      <w:r w:rsidRPr="00BA36B1">
        <w:rPr>
          <w:rFonts w:ascii="Times New Roman" w:hAnsi="Times New Roman" w:cs="Times New Roman"/>
          <w:color w:val="000000"/>
          <w:sz w:val="24"/>
          <w:szCs w:val="24"/>
        </w:rPr>
        <w:t>При извършване на годишното изравняване за 2024 г., за всяка от формираните условни групи Б1 и Б2 и съобразно техните годишни бюджети за 2024 г., Механизма за 2024 г. се прилага поотделно, по общия ред, установен в него, за приложимост към основна група лекарствени продукти.</w:t>
      </w:r>
    </w:p>
    <w:p w14:paraId="1B567897" w14:textId="77777777" w:rsidR="0073360A" w:rsidRDefault="0073360A" w:rsidP="0073360A">
      <w:pPr>
        <w:keepNext/>
        <w:autoSpaceDE w:val="0"/>
        <w:autoSpaceDN w:val="0"/>
        <w:adjustRightInd w:val="0"/>
        <w:spacing w:after="0" w:line="269" w:lineRule="auto"/>
        <w:ind w:firstLine="426"/>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00E50C51" w:rsidRPr="00BA36B1">
        <w:rPr>
          <w:rFonts w:ascii="Times New Roman" w:hAnsi="Times New Roman" w:cs="Times New Roman"/>
          <w:color w:val="000000"/>
          <w:sz w:val="24"/>
          <w:szCs w:val="24"/>
        </w:rPr>
        <w:t>омпенсиране по чл.6, ал.11 от Механизма за 2024 г. се извършва само в рамките на условна група. Не се допуска компенсиране между продукти от различни условни групи Б1 и Б2 в рамките на основната група „Б“.</w:t>
      </w:r>
      <w:r>
        <w:rPr>
          <w:rFonts w:ascii="Times New Roman" w:hAnsi="Times New Roman" w:cs="Times New Roman"/>
          <w:color w:val="000000"/>
          <w:sz w:val="24"/>
          <w:szCs w:val="24"/>
        </w:rPr>
        <w:t xml:space="preserve"> </w:t>
      </w:r>
    </w:p>
    <w:p w14:paraId="6571242D" w14:textId="3948F922" w:rsidR="00E50C51" w:rsidRPr="00307DF3" w:rsidRDefault="00E50C51" w:rsidP="00307DF3">
      <w:pPr>
        <w:keepNext/>
        <w:autoSpaceDE w:val="0"/>
        <w:autoSpaceDN w:val="0"/>
        <w:adjustRightInd w:val="0"/>
        <w:spacing w:after="0" w:line="269" w:lineRule="auto"/>
        <w:ind w:firstLine="426"/>
        <w:jc w:val="both"/>
        <w:textAlignment w:val="center"/>
        <w:rPr>
          <w:rFonts w:ascii="Times New Roman" w:hAnsi="Times New Roman" w:cs="Times New Roman"/>
          <w:color w:val="000000"/>
          <w:sz w:val="24"/>
          <w:szCs w:val="24"/>
        </w:rPr>
      </w:pPr>
      <w:r w:rsidRPr="00BA36B1">
        <w:rPr>
          <w:rFonts w:ascii="Times New Roman" w:hAnsi="Times New Roman" w:cs="Times New Roman"/>
          <w:color w:val="000000"/>
          <w:sz w:val="24"/>
          <w:szCs w:val="24"/>
        </w:rPr>
        <w:t xml:space="preserve">В случай на установено неусвояване на годишния бюджет за 2024 г. на условна група Б1 или Б2 и установено превишение на годишния бюджет за 2024 г. на другата условна група, с разликата (между годишния бюджет за 2024 г. и нетните разходи на НЗОК за лекарствените продукти от тази условна група за 2024 г. може да се компенсира напълно или частично превишението на годишния бюджет при условната група, при която е </w:t>
      </w:r>
      <w:r w:rsidRPr="00BA36B1">
        <w:rPr>
          <w:rFonts w:ascii="Times New Roman" w:hAnsi="Times New Roman" w:cs="Times New Roman"/>
          <w:color w:val="000000"/>
          <w:sz w:val="24"/>
          <w:szCs w:val="24"/>
        </w:rPr>
        <w:lastRenderedPageBreak/>
        <w:t>установено такова, с Решение на Надзорния съвет на НЗОК. Компенсирането между условните групи се извършава след годишното компенсиране по чл.8 от Механизма за 2024 г.“</w:t>
      </w:r>
      <w:r w:rsidR="00307DF3">
        <w:rPr>
          <w:rFonts w:ascii="Times New Roman" w:hAnsi="Times New Roman" w:cs="Times New Roman"/>
          <w:b/>
          <w:bCs/>
          <w:sz w:val="24"/>
          <w:szCs w:val="24"/>
        </w:rPr>
        <w:t>.</w:t>
      </w:r>
    </w:p>
    <w:p w14:paraId="4085B734" w14:textId="0D3ADF18" w:rsidR="00E50C51" w:rsidRPr="00307DF3" w:rsidRDefault="00E50C51" w:rsidP="00E50C51">
      <w:pPr>
        <w:autoSpaceDE w:val="0"/>
        <w:autoSpaceDN w:val="0"/>
        <w:adjustRightInd w:val="0"/>
        <w:spacing w:after="0" w:line="271" w:lineRule="auto"/>
        <w:ind w:firstLine="360"/>
        <w:jc w:val="both"/>
        <w:textAlignment w:val="center"/>
        <w:rPr>
          <w:rFonts w:ascii="Times New Roman" w:hAnsi="Times New Roman" w:cs="Times New Roman"/>
          <w:bCs/>
          <w:sz w:val="24"/>
          <w:szCs w:val="24"/>
          <w:lang w:val="en-US"/>
        </w:rPr>
      </w:pPr>
      <w:r w:rsidRPr="00307DF3">
        <w:rPr>
          <w:rFonts w:ascii="Times New Roman" w:hAnsi="Times New Roman" w:cs="Times New Roman"/>
          <w:bCs/>
          <w:sz w:val="24"/>
          <w:szCs w:val="24"/>
        </w:rPr>
        <w:t>Настоящ</w:t>
      </w:r>
      <w:r w:rsidR="00D72EB4" w:rsidRPr="00307DF3">
        <w:rPr>
          <w:rFonts w:ascii="Times New Roman" w:hAnsi="Times New Roman" w:cs="Times New Roman"/>
          <w:bCs/>
          <w:sz w:val="24"/>
          <w:szCs w:val="24"/>
        </w:rPr>
        <w:t xml:space="preserve">ата Методика за </w:t>
      </w:r>
      <w:r w:rsidRPr="00307DF3">
        <w:rPr>
          <w:rFonts w:ascii="Times New Roman" w:hAnsi="Times New Roman" w:cs="Times New Roman"/>
          <w:bCs/>
          <w:sz w:val="24"/>
          <w:szCs w:val="24"/>
        </w:rPr>
        <w:t xml:space="preserve">изменение и допълнение на </w:t>
      </w:r>
      <w:r w:rsidR="00D72EB4" w:rsidRPr="00307DF3">
        <w:rPr>
          <w:rFonts w:ascii="Times New Roman" w:hAnsi="Times New Roman" w:cs="Times New Roman"/>
          <w:bCs/>
          <w:sz w:val="24"/>
          <w:szCs w:val="24"/>
        </w:rPr>
        <w:t>Методика</w:t>
      </w:r>
      <w:r w:rsidR="00307DF3">
        <w:rPr>
          <w:rFonts w:ascii="Times New Roman" w:hAnsi="Times New Roman" w:cs="Times New Roman"/>
          <w:bCs/>
          <w:sz w:val="24"/>
          <w:szCs w:val="24"/>
        </w:rPr>
        <w:t>та</w:t>
      </w:r>
      <w:r w:rsidR="00D72EB4" w:rsidRPr="00307DF3">
        <w:rPr>
          <w:rFonts w:ascii="Times New Roman" w:hAnsi="Times New Roman" w:cs="Times New Roman"/>
          <w:bCs/>
          <w:sz w:val="24"/>
          <w:szCs w:val="24"/>
        </w:rPr>
        <w:t xml:space="preserve"> за прилагане на </w:t>
      </w:r>
      <w:r w:rsidRPr="00307DF3">
        <w:rPr>
          <w:rFonts w:ascii="Times New Roman" w:hAnsi="Times New Roman" w:cs="Times New Roman"/>
          <w:bCs/>
          <w:sz w:val="24"/>
          <w:szCs w:val="24"/>
        </w:rPr>
        <w:t xml:space="preserve">Механизма за 2024 г. влиза в сила от датата на обнародването </w:t>
      </w:r>
      <w:r w:rsidR="00307DF3" w:rsidRPr="00307DF3">
        <w:rPr>
          <w:rFonts w:ascii="Times New Roman" w:hAnsi="Times New Roman" w:cs="Times New Roman"/>
          <w:bCs/>
          <w:sz w:val="24"/>
          <w:szCs w:val="24"/>
        </w:rPr>
        <w:t>й</w:t>
      </w:r>
      <w:r w:rsidRPr="00307DF3">
        <w:rPr>
          <w:rFonts w:ascii="Times New Roman" w:hAnsi="Times New Roman" w:cs="Times New Roman"/>
          <w:bCs/>
          <w:sz w:val="24"/>
          <w:szCs w:val="24"/>
        </w:rPr>
        <w:t xml:space="preserve"> в „Държавен вестник“</w:t>
      </w:r>
      <w:r w:rsidR="00307DF3" w:rsidRPr="00307DF3">
        <w:rPr>
          <w:rFonts w:ascii="Times New Roman" w:hAnsi="Times New Roman" w:cs="Times New Roman"/>
          <w:bCs/>
          <w:sz w:val="24"/>
          <w:szCs w:val="24"/>
        </w:rPr>
        <w:t>.</w:t>
      </w:r>
    </w:p>
    <w:p w14:paraId="64D20C19" w14:textId="77777777" w:rsidR="00E50C51" w:rsidRPr="00307DF3" w:rsidRDefault="00E50C51" w:rsidP="00E50C51">
      <w:pPr>
        <w:autoSpaceDE w:val="0"/>
        <w:autoSpaceDN w:val="0"/>
        <w:adjustRightInd w:val="0"/>
        <w:spacing w:after="0" w:line="271" w:lineRule="auto"/>
        <w:ind w:firstLine="360"/>
        <w:jc w:val="both"/>
        <w:textAlignment w:val="center"/>
        <w:rPr>
          <w:rFonts w:ascii="Times New Roman" w:hAnsi="Times New Roman" w:cs="Times New Roman"/>
          <w:bCs/>
          <w:sz w:val="24"/>
          <w:szCs w:val="24"/>
        </w:rPr>
      </w:pPr>
    </w:p>
    <w:bookmarkEnd w:id="3"/>
    <w:p w14:paraId="6926FC7D" w14:textId="77777777" w:rsidR="00E50C51" w:rsidRPr="00E50C51" w:rsidRDefault="00E50C51" w:rsidP="00E50C51">
      <w:pPr>
        <w:autoSpaceDE w:val="0"/>
        <w:autoSpaceDN w:val="0"/>
        <w:adjustRightInd w:val="0"/>
        <w:spacing w:after="0" w:line="271" w:lineRule="auto"/>
        <w:jc w:val="both"/>
        <w:textAlignment w:val="center"/>
        <w:rPr>
          <w:rFonts w:ascii="Times New Roman" w:hAnsi="Times New Roman" w:cs="Times New Roman"/>
          <w:sz w:val="24"/>
          <w:szCs w:val="24"/>
        </w:rPr>
      </w:pPr>
    </w:p>
    <w:p w14:paraId="17B12659" w14:textId="77777777" w:rsidR="00E50C51" w:rsidRPr="00E50C51" w:rsidRDefault="00E50C51" w:rsidP="00E50C51">
      <w:pPr>
        <w:autoSpaceDE w:val="0"/>
        <w:autoSpaceDN w:val="0"/>
        <w:adjustRightInd w:val="0"/>
        <w:spacing w:before="113" w:after="57" w:line="271" w:lineRule="auto"/>
        <w:jc w:val="center"/>
        <w:textAlignment w:val="center"/>
        <w:rPr>
          <w:b/>
          <w:bCs/>
          <w:color w:val="FF0000"/>
          <w:sz w:val="24"/>
          <w:szCs w:val="24"/>
        </w:rPr>
      </w:pPr>
    </w:p>
    <w:p w14:paraId="0218DD22" w14:textId="77777777" w:rsidR="00E50C51" w:rsidRPr="00E50C51" w:rsidRDefault="00E50C51" w:rsidP="00E50C51">
      <w:pPr>
        <w:autoSpaceDE w:val="0"/>
        <w:autoSpaceDN w:val="0"/>
        <w:adjustRightInd w:val="0"/>
        <w:spacing w:before="113" w:after="57" w:line="271" w:lineRule="auto"/>
        <w:jc w:val="center"/>
        <w:textAlignment w:val="center"/>
        <w:rPr>
          <w:b/>
          <w:bCs/>
          <w:color w:val="000000"/>
          <w:sz w:val="17"/>
          <w:szCs w:val="17"/>
        </w:rPr>
      </w:pPr>
    </w:p>
    <w:p w14:paraId="0EE808B1" w14:textId="77777777" w:rsidR="00E50C51" w:rsidRPr="00E50C51" w:rsidRDefault="00E50C51" w:rsidP="00E50C51">
      <w:pPr>
        <w:spacing w:after="0"/>
        <w:jc w:val="center"/>
        <w:rPr>
          <w:rFonts w:ascii="Times New Roman" w:hAnsi="Times New Roman" w:cs="Times New Roman"/>
          <w:sz w:val="24"/>
          <w:szCs w:val="24"/>
        </w:rPr>
      </w:pPr>
      <w:r w:rsidRPr="00E50C51">
        <w:rPr>
          <w:rFonts w:ascii="Times New Roman" w:hAnsi="Times New Roman" w:cs="Times New Roman"/>
          <w:sz w:val="24"/>
          <w:szCs w:val="24"/>
        </w:rPr>
        <w:t xml:space="preserve">                                                                             </w:t>
      </w:r>
    </w:p>
    <w:p w14:paraId="588CA0B2" w14:textId="77777777" w:rsidR="00E50C51" w:rsidRPr="00E50C51" w:rsidRDefault="00E50C51" w:rsidP="0070255A">
      <w:pPr>
        <w:jc w:val="center"/>
      </w:pPr>
    </w:p>
    <w:p w14:paraId="0E56DB22" w14:textId="77777777" w:rsidR="00E50C51" w:rsidRPr="00E50C51" w:rsidRDefault="00E50C51" w:rsidP="0070255A">
      <w:pPr>
        <w:jc w:val="center"/>
      </w:pPr>
    </w:p>
    <w:sectPr w:rsidR="00E50C51" w:rsidRPr="00E50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202"/>
    <w:multiLevelType w:val="hybridMultilevel"/>
    <w:tmpl w:val="1E60C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89563C"/>
    <w:multiLevelType w:val="hybridMultilevel"/>
    <w:tmpl w:val="F0D0E878"/>
    <w:lvl w:ilvl="0" w:tplc="8A00878A">
      <w:start w:val="1"/>
      <w:numFmt w:val="decimal"/>
      <w:lvlText w:val="%1."/>
      <w:lvlJc w:val="left"/>
      <w:pPr>
        <w:ind w:left="1668" w:hanging="9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AC07B70"/>
    <w:multiLevelType w:val="hybridMultilevel"/>
    <w:tmpl w:val="3D7AC50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299615DD"/>
    <w:multiLevelType w:val="hybridMultilevel"/>
    <w:tmpl w:val="F3D4B1C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8F26658"/>
    <w:multiLevelType w:val="hybridMultilevel"/>
    <w:tmpl w:val="F0D0E878"/>
    <w:lvl w:ilvl="0" w:tplc="FFFFFFFF">
      <w:start w:val="1"/>
      <w:numFmt w:val="decimal"/>
      <w:lvlText w:val="%1."/>
      <w:lvlJc w:val="left"/>
      <w:pPr>
        <w:ind w:left="1668" w:hanging="9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68525A7C"/>
    <w:multiLevelType w:val="hybridMultilevel"/>
    <w:tmpl w:val="0F6AAB7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69C03FD2"/>
    <w:multiLevelType w:val="hybridMultilevel"/>
    <w:tmpl w:val="43EC3D0A"/>
    <w:lvl w:ilvl="0" w:tplc="04720932">
      <w:numFmt w:val="bullet"/>
      <w:lvlText w:val="-"/>
      <w:lvlJc w:val="left"/>
      <w:pPr>
        <w:ind w:left="643" w:hanging="360"/>
      </w:pPr>
      <w:rPr>
        <w:rFonts w:ascii="Times New Roman" w:eastAsia="Times New Roman" w:hAnsi="Times New Roman" w:cs="Times New Roman"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7" w15:restartNumberingAfterBreak="0">
    <w:nsid w:val="753C3E44"/>
    <w:multiLevelType w:val="hybridMultilevel"/>
    <w:tmpl w:val="B8924A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EA0084D"/>
    <w:multiLevelType w:val="hybridMultilevel"/>
    <w:tmpl w:val="14706EF0"/>
    <w:lvl w:ilvl="0" w:tplc="551ED0DE">
      <w:start w:val="1"/>
      <w:numFmt w:val="decimal"/>
      <w:lvlText w:val="%1."/>
      <w:lvlJc w:val="left"/>
      <w:pPr>
        <w:ind w:left="720" w:hanging="36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87316">
    <w:abstractNumId w:val="7"/>
  </w:num>
  <w:num w:numId="2" w16cid:durableId="2098942397">
    <w:abstractNumId w:val="0"/>
  </w:num>
  <w:num w:numId="3" w16cid:durableId="370694347">
    <w:abstractNumId w:val="1"/>
  </w:num>
  <w:num w:numId="4" w16cid:durableId="85998286">
    <w:abstractNumId w:val="4"/>
  </w:num>
  <w:num w:numId="5" w16cid:durableId="145359640">
    <w:abstractNumId w:val="2"/>
  </w:num>
  <w:num w:numId="6" w16cid:durableId="1697845377">
    <w:abstractNumId w:val="8"/>
  </w:num>
  <w:num w:numId="7" w16cid:durableId="1625847081">
    <w:abstractNumId w:val="6"/>
  </w:num>
  <w:num w:numId="8" w16cid:durableId="1473400365">
    <w:abstractNumId w:val="5"/>
  </w:num>
  <w:num w:numId="9" w16cid:durableId="90741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1C"/>
    <w:rsid w:val="000013EF"/>
    <w:rsid w:val="0001482E"/>
    <w:rsid w:val="000174AD"/>
    <w:rsid w:val="00024B00"/>
    <w:rsid w:val="00025FF3"/>
    <w:rsid w:val="00050D7E"/>
    <w:rsid w:val="000D7711"/>
    <w:rsid w:val="001003B7"/>
    <w:rsid w:val="00116346"/>
    <w:rsid w:val="00160DE2"/>
    <w:rsid w:val="00176EC2"/>
    <w:rsid w:val="002672F3"/>
    <w:rsid w:val="002D1C97"/>
    <w:rsid w:val="002E768F"/>
    <w:rsid w:val="00307DF3"/>
    <w:rsid w:val="0032326F"/>
    <w:rsid w:val="00342079"/>
    <w:rsid w:val="003836FF"/>
    <w:rsid w:val="003920B2"/>
    <w:rsid w:val="003B2D18"/>
    <w:rsid w:val="0041166D"/>
    <w:rsid w:val="004458B6"/>
    <w:rsid w:val="00474995"/>
    <w:rsid w:val="004A3277"/>
    <w:rsid w:val="004D6FB8"/>
    <w:rsid w:val="004F12C6"/>
    <w:rsid w:val="00511FCA"/>
    <w:rsid w:val="00586F15"/>
    <w:rsid w:val="00591C58"/>
    <w:rsid w:val="0059365C"/>
    <w:rsid w:val="005C2E0C"/>
    <w:rsid w:val="005F3F18"/>
    <w:rsid w:val="00643728"/>
    <w:rsid w:val="00650564"/>
    <w:rsid w:val="0069231C"/>
    <w:rsid w:val="006F1E35"/>
    <w:rsid w:val="0070255A"/>
    <w:rsid w:val="00727072"/>
    <w:rsid w:val="0073360A"/>
    <w:rsid w:val="0077598D"/>
    <w:rsid w:val="00784827"/>
    <w:rsid w:val="007A2B89"/>
    <w:rsid w:val="00815BD2"/>
    <w:rsid w:val="00846F5B"/>
    <w:rsid w:val="008B29E0"/>
    <w:rsid w:val="008C562F"/>
    <w:rsid w:val="00957CF3"/>
    <w:rsid w:val="00976419"/>
    <w:rsid w:val="009779A2"/>
    <w:rsid w:val="009A7B4B"/>
    <w:rsid w:val="00A06080"/>
    <w:rsid w:val="00A237D4"/>
    <w:rsid w:val="00A24015"/>
    <w:rsid w:val="00A53285"/>
    <w:rsid w:val="00AD1868"/>
    <w:rsid w:val="00B042B9"/>
    <w:rsid w:val="00B066F8"/>
    <w:rsid w:val="00B40F5F"/>
    <w:rsid w:val="00BA36B1"/>
    <w:rsid w:val="00BC1D05"/>
    <w:rsid w:val="00BD311B"/>
    <w:rsid w:val="00C65C8E"/>
    <w:rsid w:val="00C969B2"/>
    <w:rsid w:val="00CB3D09"/>
    <w:rsid w:val="00D00F06"/>
    <w:rsid w:val="00D21F90"/>
    <w:rsid w:val="00D23F84"/>
    <w:rsid w:val="00D62672"/>
    <w:rsid w:val="00D72EB4"/>
    <w:rsid w:val="00D76BDA"/>
    <w:rsid w:val="00DB765C"/>
    <w:rsid w:val="00DC6757"/>
    <w:rsid w:val="00DD3D69"/>
    <w:rsid w:val="00E50C51"/>
    <w:rsid w:val="00E54534"/>
    <w:rsid w:val="00F65FA3"/>
    <w:rsid w:val="00F83CBF"/>
    <w:rsid w:val="00F91EC0"/>
    <w:rsid w:val="00FB56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C29C"/>
  <w15:docId w15:val="{19DAA561-4052-4420-B51D-69144EA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31C"/>
    <w:rPr>
      <w:rFonts w:eastAsiaTheme="majorEastAsia" w:cstheme="majorBidi"/>
      <w:color w:val="272727" w:themeColor="text1" w:themeTint="D8"/>
    </w:rPr>
  </w:style>
  <w:style w:type="paragraph" w:styleId="Title">
    <w:name w:val="Title"/>
    <w:basedOn w:val="Normal"/>
    <w:next w:val="Normal"/>
    <w:link w:val="TitleChar"/>
    <w:uiPriority w:val="10"/>
    <w:qFormat/>
    <w:rsid w:val="00692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31C"/>
    <w:pPr>
      <w:spacing w:before="160"/>
      <w:jc w:val="center"/>
    </w:pPr>
    <w:rPr>
      <w:i/>
      <w:iCs/>
      <w:color w:val="404040" w:themeColor="text1" w:themeTint="BF"/>
    </w:rPr>
  </w:style>
  <w:style w:type="character" w:customStyle="1" w:styleId="QuoteChar">
    <w:name w:val="Quote Char"/>
    <w:basedOn w:val="DefaultParagraphFont"/>
    <w:link w:val="Quote"/>
    <w:uiPriority w:val="29"/>
    <w:rsid w:val="0069231C"/>
    <w:rPr>
      <w:i/>
      <w:iCs/>
      <w:color w:val="404040" w:themeColor="text1" w:themeTint="BF"/>
    </w:rPr>
  </w:style>
  <w:style w:type="paragraph" w:styleId="ListParagraph">
    <w:name w:val="List Paragraph"/>
    <w:basedOn w:val="Normal"/>
    <w:uiPriority w:val="34"/>
    <w:qFormat/>
    <w:rsid w:val="0069231C"/>
    <w:pPr>
      <w:ind w:left="720"/>
      <w:contextualSpacing/>
    </w:pPr>
  </w:style>
  <w:style w:type="character" w:styleId="IntenseEmphasis">
    <w:name w:val="Intense Emphasis"/>
    <w:basedOn w:val="DefaultParagraphFont"/>
    <w:uiPriority w:val="21"/>
    <w:qFormat/>
    <w:rsid w:val="0069231C"/>
    <w:rPr>
      <w:i/>
      <w:iCs/>
      <w:color w:val="0F4761" w:themeColor="accent1" w:themeShade="BF"/>
    </w:rPr>
  </w:style>
  <w:style w:type="paragraph" w:styleId="IntenseQuote">
    <w:name w:val="Intense Quote"/>
    <w:basedOn w:val="Normal"/>
    <w:next w:val="Normal"/>
    <w:link w:val="IntenseQuoteChar"/>
    <w:uiPriority w:val="30"/>
    <w:qFormat/>
    <w:rsid w:val="00692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31C"/>
    <w:rPr>
      <w:i/>
      <w:iCs/>
      <w:color w:val="0F4761" w:themeColor="accent1" w:themeShade="BF"/>
    </w:rPr>
  </w:style>
  <w:style w:type="character" w:styleId="IntenseReference">
    <w:name w:val="Intense Reference"/>
    <w:basedOn w:val="DefaultParagraphFont"/>
    <w:uiPriority w:val="32"/>
    <w:qFormat/>
    <w:rsid w:val="0069231C"/>
    <w:rPr>
      <w:b/>
      <w:bCs/>
      <w:smallCaps/>
      <w:color w:val="0F4761" w:themeColor="accent1" w:themeShade="BF"/>
      <w:spacing w:val="5"/>
    </w:rPr>
  </w:style>
  <w:style w:type="paragraph" w:customStyle="1" w:styleId="m">
    <w:name w:val="m"/>
    <w:basedOn w:val="Normal"/>
    <w:rsid w:val="009A7B4B"/>
    <w:pPr>
      <w:spacing w:before="100" w:beforeAutospacing="1" w:after="100" w:afterAutospacing="1" w:line="240" w:lineRule="auto"/>
      <w:ind w:firstLine="990"/>
    </w:pPr>
    <w:rPr>
      <w:rFonts w:ascii="Times New Roman" w:eastAsia="Times New Roman" w:hAnsi="Times New Roman" w:cs="Times New Roman"/>
      <w:kern w:val="0"/>
      <w:sz w:val="24"/>
      <w:szCs w:val="24"/>
      <w:lang w:eastAsia="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833592">
      <w:bodyDiv w:val="1"/>
      <w:marLeft w:val="0"/>
      <w:marRight w:val="0"/>
      <w:marTop w:val="0"/>
      <w:marBottom w:val="0"/>
      <w:divBdr>
        <w:top w:val="none" w:sz="0" w:space="0" w:color="auto"/>
        <w:left w:val="none" w:sz="0" w:space="0" w:color="auto"/>
        <w:bottom w:val="none" w:sz="0" w:space="0" w:color="auto"/>
        <w:right w:val="none" w:sz="0" w:space="0" w:color="auto"/>
      </w:divBdr>
      <w:divsChild>
        <w:div w:id="18461676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390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is://Base=NARH&amp;DocCode=4667&amp;ToPar=Art15_Al1_Pt7&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is://Base=NARH&amp;DocCode=4667&amp;ToPar=Art15_Al1_Pt7&amp;Type=2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EC63-921D-4DF1-B903-6C99E0C7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Дилянова Бенева</dc:creator>
  <cp:keywords/>
  <dc:description/>
  <cp:lastModifiedBy>Ирена Дилянова Бенева</cp:lastModifiedBy>
  <cp:revision>4</cp:revision>
  <cp:lastPrinted>2024-12-16T13:10:00Z</cp:lastPrinted>
  <dcterms:created xsi:type="dcterms:W3CDTF">2024-12-16T07:33:00Z</dcterms:created>
  <dcterms:modified xsi:type="dcterms:W3CDTF">2024-12-16T13:11:00Z</dcterms:modified>
</cp:coreProperties>
</file>