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68" w:rsidRDefault="00865668" w:rsidP="0086566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g-BG"/>
        </w:rPr>
      </w:pPr>
      <w:r w:rsidRPr="0086566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g-BG"/>
        </w:rPr>
        <w:t>Механи</w:t>
      </w:r>
      <w:r w:rsidRPr="00C415E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g-BG"/>
        </w:rPr>
        <w:t>зъм, гарантиращ предвидимост и устойчивост на бюджета на НЗОК</w:t>
      </w:r>
      <w:r w:rsidR="00F96A5C" w:rsidRPr="00C415E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g-BG"/>
        </w:rPr>
        <w:t xml:space="preserve"> за 202</w:t>
      </w:r>
      <w:r w:rsidR="00564E0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g-BG"/>
        </w:rPr>
        <w:t xml:space="preserve">1 </w:t>
      </w:r>
      <w:r w:rsidR="00F96A5C" w:rsidRPr="00C415E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g-BG"/>
        </w:rPr>
        <w:t>г.</w:t>
      </w:r>
    </w:p>
    <w:p w:rsidR="00600578" w:rsidRDefault="00600578" w:rsidP="0086566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g-BG"/>
        </w:rPr>
      </w:pPr>
    </w:p>
    <w:p w:rsidR="00600578" w:rsidRPr="00600578" w:rsidRDefault="00600578" w:rsidP="00600578">
      <w:pPr>
        <w:pStyle w:val="Header"/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(</w:t>
      </w:r>
      <w:proofErr w:type="gramStart"/>
      <w:r>
        <w:rPr>
          <w:rFonts w:ascii="Verdana" w:hAnsi="Verdana"/>
          <w:sz w:val="24"/>
          <w:szCs w:val="24"/>
        </w:rPr>
        <w:t>приет</w:t>
      </w:r>
      <w:proofErr w:type="gramEnd"/>
      <w:r>
        <w:rPr>
          <w:rFonts w:ascii="Verdana" w:hAnsi="Verdana"/>
          <w:sz w:val="24"/>
          <w:szCs w:val="24"/>
        </w:rPr>
        <w:t xml:space="preserve"> с </w:t>
      </w:r>
      <w:r w:rsidRPr="00600578">
        <w:rPr>
          <w:rFonts w:ascii="Verdana" w:hAnsi="Verdana"/>
          <w:sz w:val="24"/>
          <w:szCs w:val="24"/>
        </w:rPr>
        <w:t>Решение №РД-НС-04-3</w:t>
      </w:r>
      <w:r>
        <w:rPr>
          <w:rFonts w:ascii="Verdana" w:hAnsi="Verdana"/>
          <w:sz w:val="24"/>
          <w:szCs w:val="24"/>
        </w:rPr>
        <w:t xml:space="preserve"> от 12 януари </w:t>
      </w:r>
      <w:r w:rsidRPr="00600578">
        <w:rPr>
          <w:rFonts w:ascii="Verdana" w:hAnsi="Verdana"/>
          <w:sz w:val="24"/>
          <w:szCs w:val="24"/>
        </w:rPr>
        <w:t xml:space="preserve">2021г. на </w:t>
      </w:r>
      <w:r>
        <w:rPr>
          <w:rFonts w:ascii="Verdana" w:hAnsi="Verdana"/>
          <w:sz w:val="24"/>
          <w:szCs w:val="24"/>
        </w:rPr>
        <w:t>Н</w:t>
      </w:r>
      <w:r w:rsidRPr="00600578">
        <w:rPr>
          <w:rFonts w:ascii="Verdana" w:hAnsi="Verdana"/>
          <w:sz w:val="24"/>
          <w:szCs w:val="24"/>
        </w:rPr>
        <w:t>адзорния съвет на НЗОК</w:t>
      </w:r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обн</w:t>
      </w:r>
      <w:proofErr w:type="spellEnd"/>
      <w:r>
        <w:rPr>
          <w:rFonts w:ascii="Verdana" w:hAnsi="Verdana"/>
          <w:sz w:val="24"/>
          <w:szCs w:val="24"/>
        </w:rPr>
        <w:t>. ДВ, бр.11 от 9 февруари 2021 г.</w:t>
      </w:r>
      <w:r>
        <w:rPr>
          <w:rFonts w:ascii="Verdana" w:hAnsi="Verdana"/>
          <w:sz w:val="24"/>
          <w:szCs w:val="24"/>
          <w:lang w:val="en-US"/>
        </w:rPr>
        <w:t>)</w:t>
      </w:r>
    </w:p>
    <w:p w:rsidR="00600578" w:rsidRPr="00C415E8" w:rsidRDefault="00600578" w:rsidP="0086566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</w:p>
    <w:p w:rsidR="00A75632" w:rsidRPr="00C415E8" w:rsidRDefault="00A806F7" w:rsidP="001A46F0">
      <w:pPr>
        <w:spacing w:after="0" w:line="240" w:lineRule="auto"/>
        <w:ind w:firstLine="708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  <w:r w:rsidRPr="00C415E8">
        <w:rPr>
          <w:rFonts w:ascii="Verdana" w:hAnsi="Verdana"/>
          <w:sz w:val="24"/>
          <w:szCs w:val="24"/>
        </w:rPr>
        <w:t>Механизмът</w:t>
      </w:r>
      <w:r w:rsidR="00A75632" w:rsidRPr="00C415E8">
        <w:rPr>
          <w:rFonts w:ascii="Verdana" w:hAnsi="Verdana"/>
          <w:sz w:val="24"/>
          <w:szCs w:val="24"/>
        </w:rPr>
        <w:t>, гарантиращ предвидимост и устойчивост на бюджета на НЗОК,</w:t>
      </w:r>
      <w:r w:rsidRPr="00C415E8">
        <w:rPr>
          <w:rFonts w:ascii="Verdana" w:hAnsi="Verdana"/>
          <w:sz w:val="24"/>
          <w:szCs w:val="24"/>
        </w:rPr>
        <w:t xml:space="preserve"> </w:t>
      </w:r>
      <w:r w:rsidR="00A75632" w:rsidRPr="00C415E8">
        <w:rPr>
          <w:rFonts w:ascii="Verdana" w:hAnsi="Verdana"/>
          <w:sz w:val="24"/>
          <w:szCs w:val="24"/>
        </w:rPr>
        <w:t>е</w:t>
      </w:r>
      <w:r w:rsidRPr="00C415E8">
        <w:rPr>
          <w:rFonts w:ascii="Verdana" w:hAnsi="Verdana"/>
          <w:sz w:val="24"/>
          <w:szCs w:val="24"/>
        </w:rPr>
        <w:t xml:space="preserve"> </w:t>
      </w:r>
      <w:r w:rsidR="00CC1656" w:rsidRPr="00C415E8">
        <w:rPr>
          <w:rFonts w:ascii="Verdana" w:hAnsi="Verdana"/>
          <w:sz w:val="24"/>
          <w:szCs w:val="24"/>
        </w:rPr>
        <w:t xml:space="preserve">законоустановена </w:t>
      </w:r>
      <w:r w:rsidRPr="00C415E8">
        <w:rPr>
          <w:rFonts w:ascii="Verdana" w:hAnsi="Verdana"/>
          <w:sz w:val="24"/>
          <w:szCs w:val="24"/>
        </w:rPr>
        <w:t xml:space="preserve">мярка за ограничаване на разходите </w:t>
      </w:r>
      <w:r w:rsidR="00D64582" w:rsidRPr="00C415E8">
        <w:rPr>
          <w:rFonts w:ascii="Verdana" w:hAnsi="Verdana"/>
          <w:sz w:val="24"/>
          <w:szCs w:val="24"/>
        </w:rPr>
        <w:t>с цел</w:t>
      </w:r>
      <w:r w:rsidRPr="00C415E8">
        <w:rPr>
          <w:rFonts w:ascii="Verdana" w:hAnsi="Verdana"/>
          <w:sz w:val="24"/>
          <w:szCs w:val="24"/>
        </w:rPr>
        <w:t xml:space="preserve"> намаляване на отклоненията от проспективно определен бюджет. Той </w:t>
      </w:r>
      <w:r w:rsidR="00A75632" w:rsidRPr="00C415E8">
        <w:rPr>
          <w:rFonts w:ascii="Verdana" w:hAnsi="Verdana"/>
          <w:sz w:val="24"/>
          <w:szCs w:val="24"/>
        </w:rPr>
        <w:t>осигурява</w:t>
      </w:r>
      <w:r w:rsidRPr="00C415E8">
        <w:rPr>
          <w:rFonts w:ascii="Verdana" w:hAnsi="Verdana"/>
          <w:sz w:val="24"/>
          <w:szCs w:val="24"/>
        </w:rPr>
        <w:t xml:space="preserve"> гаранция за НЗОК като платец, че реалните разходи </w:t>
      </w:r>
      <w:r w:rsidR="00A75632" w:rsidRPr="00C415E8">
        <w:rPr>
          <w:rFonts w:ascii="Verdana" w:hAnsi="Verdana"/>
          <w:sz w:val="24"/>
          <w:szCs w:val="24"/>
        </w:rPr>
        <w:t xml:space="preserve">за лекарствени продукти </w:t>
      </w:r>
      <w:r w:rsidRPr="00C415E8">
        <w:rPr>
          <w:rFonts w:ascii="Verdana" w:hAnsi="Verdana"/>
          <w:sz w:val="24"/>
          <w:szCs w:val="24"/>
        </w:rPr>
        <w:t>ще бъдат в съответствие с бюджетните разчети и намалява несигурността на НЗОК по отношение на бъдещите нива на разходи. Този механизъм гарантира, че разходите за лекарствени продукти ще бъдат контролирани до</w:t>
      </w:r>
      <w:r w:rsidR="00A75632" w:rsidRPr="00C415E8">
        <w:rPr>
          <w:rFonts w:ascii="Verdana" w:hAnsi="Verdana"/>
          <w:sz w:val="24"/>
          <w:szCs w:val="24"/>
        </w:rPr>
        <w:t xml:space="preserve"> </w:t>
      </w:r>
      <w:r w:rsidRPr="00C415E8">
        <w:rPr>
          <w:rFonts w:ascii="Verdana" w:hAnsi="Verdana"/>
          <w:sz w:val="24"/>
          <w:szCs w:val="24"/>
        </w:rPr>
        <w:t xml:space="preserve">ниво целеви бюджет. </w:t>
      </w:r>
    </w:p>
    <w:p w:rsidR="00A75632" w:rsidRPr="00C415E8" w:rsidRDefault="00A75632" w:rsidP="00A75632">
      <w:pPr>
        <w:spacing w:after="0" w:line="240" w:lineRule="auto"/>
        <w:jc w:val="both"/>
        <w:rPr>
          <w:rFonts w:ascii="Verdana" w:hAnsi="Verdana"/>
        </w:rPr>
      </w:pPr>
    </w:p>
    <w:p w:rsidR="00906E66" w:rsidRPr="00C415E8" w:rsidRDefault="00906E66" w:rsidP="00A75632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4"/>
          <w:szCs w:val="24"/>
        </w:rPr>
      </w:pPr>
      <w:r w:rsidRPr="00C415E8">
        <w:rPr>
          <w:rFonts w:ascii="Verdana" w:hAnsi="Verdana"/>
          <w:sz w:val="24"/>
          <w:szCs w:val="24"/>
        </w:rPr>
        <w:t>Правно основание</w:t>
      </w:r>
    </w:p>
    <w:p w:rsidR="00906E66" w:rsidRPr="00C415E8" w:rsidRDefault="00906E66" w:rsidP="00A75632">
      <w:pPr>
        <w:pStyle w:val="NormalWeb"/>
        <w:rPr>
          <w:rFonts w:ascii="Verdana" w:hAnsi="Verdana"/>
        </w:rPr>
      </w:pPr>
      <w:r w:rsidRPr="00C415E8">
        <w:rPr>
          <w:rFonts w:ascii="Verdana" w:hAnsi="Verdana"/>
        </w:rPr>
        <w:t>Настоящият механизъм, гарантиращ предвидимост и устойчивост на бюджета на НЗОК за 202</w:t>
      </w:r>
      <w:r w:rsidR="00EC6A0D">
        <w:rPr>
          <w:rFonts w:ascii="Verdana" w:hAnsi="Verdana"/>
        </w:rPr>
        <w:t xml:space="preserve">1 </w:t>
      </w:r>
      <w:r w:rsidRPr="00C415E8">
        <w:rPr>
          <w:rFonts w:ascii="Verdana" w:hAnsi="Verdana"/>
        </w:rPr>
        <w:t>г., е приет от надзорния съвет на НЗОК на основание чл.15, ал.1, т.4а и чл.45, ал.</w:t>
      </w:r>
      <w:r w:rsidR="00EC6A0D">
        <w:rPr>
          <w:rFonts w:ascii="Verdana" w:hAnsi="Verdana"/>
        </w:rPr>
        <w:t>31</w:t>
      </w:r>
      <w:r w:rsidRPr="00C415E8">
        <w:rPr>
          <w:rFonts w:ascii="Verdana" w:hAnsi="Verdana"/>
        </w:rPr>
        <w:t xml:space="preserve"> от Закона за здравното осигуряване </w:t>
      </w:r>
      <w:r w:rsidRPr="00C415E8">
        <w:rPr>
          <w:rFonts w:ascii="Verdana" w:hAnsi="Verdana"/>
          <w:lang w:val="en-US"/>
        </w:rPr>
        <w:t>(</w:t>
      </w:r>
      <w:r w:rsidRPr="00C415E8">
        <w:rPr>
          <w:rFonts w:ascii="Verdana" w:hAnsi="Verdana"/>
        </w:rPr>
        <w:t>ЗЗО</w:t>
      </w:r>
      <w:r w:rsidRPr="00C415E8">
        <w:rPr>
          <w:rFonts w:ascii="Verdana" w:hAnsi="Verdana"/>
          <w:lang w:val="en-US"/>
        </w:rPr>
        <w:t>)</w:t>
      </w:r>
      <w:r w:rsidRPr="00C415E8">
        <w:rPr>
          <w:rFonts w:ascii="Verdana" w:hAnsi="Verdana"/>
        </w:rPr>
        <w:t>.</w:t>
      </w:r>
    </w:p>
    <w:p w:rsidR="00906E66" w:rsidRPr="00C415E8" w:rsidRDefault="00A917BB" w:rsidP="00906E66">
      <w:pPr>
        <w:pStyle w:val="NormalWeb"/>
        <w:rPr>
          <w:rFonts w:ascii="Verdana" w:hAnsi="Verdana"/>
        </w:rPr>
      </w:pPr>
      <w:r w:rsidRPr="00C415E8">
        <w:rPr>
          <w:rFonts w:ascii="Verdana" w:hAnsi="Verdana"/>
        </w:rPr>
        <w:t>В изпълнение на чл.45, ал.</w:t>
      </w:r>
      <w:r w:rsidR="00EC6A0D">
        <w:rPr>
          <w:rFonts w:ascii="Verdana" w:hAnsi="Verdana"/>
        </w:rPr>
        <w:t>31</w:t>
      </w:r>
      <w:r w:rsidRPr="00C415E8">
        <w:rPr>
          <w:rFonts w:ascii="Verdana" w:hAnsi="Verdana"/>
        </w:rPr>
        <w:t xml:space="preserve"> </w:t>
      </w:r>
      <w:r w:rsidR="009B2741" w:rsidRPr="00C415E8">
        <w:rPr>
          <w:rFonts w:ascii="Verdana" w:hAnsi="Verdana"/>
        </w:rPr>
        <w:t>от Закона за здравното осигуряване, з</w:t>
      </w:r>
      <w:r w:rsidRPr="00C415E8">
        <w:rPr>
          <w:rFonts w:ascii="Verdana" w:hAnsi="Verdana"/>
        </w:rPr>
        <w:t>а лекарствените продукти, заплащани напълно или частично от НЗОК, за 202</w:t>
      </w:r>
      <w:r w:rsidR="00EC6A0D">
        <w:rPr>
          <w:rFonts w:ascii="Verdana" w:hAnsi="Verdana"/>
        </w:rPr>
        <w:t xml:space="preserve">1 </w:t>
      </w:r>
      <w:r w:rsidRPr="00C415E8">
        <w:rPr>
          <w:rFonts w:ascii="Verdana" w:hAnsi="Verdana"/>
        </w:rPr>
        <w:t xml:space="preserve">г. се прилага </w:t>
      </w:r>
      <w:r w:rsidR="009B2741" w:rsidRPr="00C415E8">
        <w:rPr>
          <w:rFonts w:ascii="Verdana" w:hAnsi="Verdana"/>
        </w:rPr>
        <w:t xml:space="preserve">настоящият </w:t>
      </w:r>
      <w:r w:rsidRPr="00C415E8">
        <w:rPr>
          <w:rFonts w:ascii="Verdana" w:hAnsi="Verdana"/>
        </w:rPr>
        <w:t>механизъм, гарантиращ предвидимост и устойчивост на бюджета на НЗОК</w:t>
      </w:r>
      <w:r w:rsidR="009B2741" w:rsidRPr="00C415E8">
        <w:rPr>
          <w:rFonts w:ascii="Verdana" w:hAnsi="Verdana"/>
        </w:rPr>
        <w:t xml:space="preserve"> </w:t>
      </w:r>
      <w:r w:rsidR="009B2741" w:rsidRPr="00C415E8">
        <w:rPr>
          <w:rFonts w:ascii="Verdana" w:hAnsi="Verdana"/>
          <w:lang w:val="en-US"/>
        </w:rPr>
        <w:t>(</w:t>
      </w:r>
      <w:r w:rsidR="009B2741" w:rsidRPr="00C415E8">
        <w:rPr>
          <w:rFonts w:ascii="Verdana" w:hAnsi="Verdana"/>
        </w:rPr>
        <w:t>наричан за краткост „Механизм</w:t>
      </w:r>
      <w:r w:rsidR="00EC6A0D">
        <w:rPr>
          <w:rFonts w:ascii="Verdana" w:hAnsi="Verdana"/>
        </w:rPr>
        <w:t>а</w:t>
      </w:r>
      <w:r w:rsidR="009B2741" w:rsidRPr="00C415E8">
        <w:rPr>
          <w:rFonts w:ascii="Verdana" w:hAnsi="Verdana"/>
        </w:rPr>
        <w:t>“</w:t>
      </w:r>
      <w:r w:rsidR="009B2741" w:rsidRPr="00C415E8">
        <w:rPr>
          <w:rFonts w:ascii="Verdana" w:hAnsi="Verdana"/>
          <w:lang w:val="en-US"/>
        </w:rPr>
        <w:t>)</w:t>
      </w:r>
      <w:r w:rsidR="00F96A5C" w:rsidRPr="00C415E8">
        <w:rPr>
          <w:rFonts w:ascii="Verdana" w:hAnsi="Verdana"/>
        </w:rPr>
        <w:t>. Механизмът е</w:t>
      </w:r>
      <w:r w:rsidRPr="00C415E8">
        <w:rPr>
          <w:rFonts w:ascii="Verdana" w:hAnsi="Verdana"/>
        </w:rPr>
        <w:t xml:space="preserve"> </w:t>
      </w:r>
      <w:r w:rsidR="009B2741" w:rsidRPr="00C415E8">
        <w:rPr>
          <w:rFonts w:ascii="Verdana" w:hAnsi="Verdana"/>
        </w:rPr>
        <w:t xml:space="preserve">приет </w:t>
      </w:r>
      <w:r w:rsidRPr="00C415E8">
        <w:rPr>
          <w:rFonts w:ascii="Verdana" w:hAnsi="Verdana"/>
        </w:rPr>
        <w:t>съобразно средствата за здравноосигурителни плащания за лека</w:t>
      </w:r>
      <w:r w:rsidR="009B2741" w:rsidRPr="00C415E8">
        <w:rPr>
          <w:rFonts w:ascii="Verdana" w:hAnsi="Verdana"/>
        </w:rPr>
        <w:t>рствени продукти, определени в З</w:t>
      </w:r>
      <w:r w:rsidRPr="00C415E8">
        <w:rPr>
          <w:rFonts w:ascii="Verdana" w:hAnsi="Verdana"/>
        </w:rPr>
        <w:t xml:space="preserve">акона за бюджета на </w:t>
      </w:r>
      <w:r w:rsidR="009B2741" w:rsidRPr="00C415E8">
        <w:rPr>
          <w:rFonts w:ascii="Verdana" w:hAnsi="Verdana"/>
        </w:rPr>
        <w:t>Националната здравноосигурителна каса</w:t>
      </w:r>
      <w:r w:rsidRPr="00C415E8">
        <w:rPr>
          <w:rFonts w:ascii="Verdana" w:hAnsi="Verdana"/>
        </w:rPr>
        <w:t xml:space="preserve"> за</w:t>
      </w:r>
      <w:r w:rsidR="009B2741" w:rsidRPr="00C415E8">
        <w:rPr>
          <w:rFonts w:ascii="Verdana" w:hAnsi="Verdana"/>
        </w:rPr>
        <w:t xml:space="preserve"> 202</w:t>
      </w:r>
      <w:r w:rsidR="00EC6A0D">
        <w:rPr>
          <w:rFonts w:ascii="Verdana" w:hAnsi="Verdana"/>
        </w:rPr>
        <w:t xml:space="preserve">1 </w:t>
      </w:r>
      <w:r w:rsidR="009B2741" w:rsidRPr="00C415E8">
        <w:rPr>
          <w:rFonts w:ascii="Verdana" w:hAnsi="Verdana"/>
        </w:rPr>
        <w:t>г</w:t>
      </w:r>
      <w:r w:rsidR="009B2741" w:rsidRPr="00EC6A0D">
        <w:t xml:space="preserve">. </w:t>
      </w:r>
      <w:r w:rsidR="009B2741" w:rsidRPr="00BD6CDD">
        <w:rPr>
          <w:rFonts w:ascii="Verdana" w:hAnsi="Verdana"/>
          <w:color w:val="auto"/>
          <w:lang w:val="en-US"/>
        </w:rPr>
        <w:t>(</w:t>
      </w:r>
      <w:proofErr w:type="gramStart"/>
      <w:r w:rsidR="00EC6A0D" w:rsidRPr="00BD6CDD">
        <w:rPr>
          <w:rFonts w:ascii="Verdana" w:hAnsi="Verdana"/>
          <w:color w:val="auto"/>
          <w:shd w:val="clear" w:color="auto" w:fill="FFFFFF"/>
        </w:rPr>
        <w:t>Oбн.,</w:t>
      </w:r>
      <w:proofErr w:type="gramEnd"/>
      <w:r w:rsidR="00EC6A0D" w:rsidRPr="00BD6CDD">
        <w:rPr>
          <w:rFonts w:ascii="Verdana" w:hAnsi="Verdana"/>
          <w:color w:val="auto"/>
          <w:shd w:val="clear" w:color="auto" w:fill="FFFFFF"/>
        </w:rPr>
        <w:t xml:space="preserve"> ДВ, бр. 103 от 4.12.2020 г., в сила от 1.01.2021 г.</w:t>
      </w:r>
      <w:r w:rsidR="009B2741" w:rsidRPr="00BD6CDD">
        <w:rPr>
          <w:rFonts w:ascii="Verdana" w:hAnsi="Verdana"/>
          <w:color w:val="auto"/>
          <w:lang w:val="en-US"/>
        </w:rPr>
        <w:t>)</w:t>
      </w:r>
      <w:r w:rsidR="000C359F" w:rsidRPr="00BD6CDD">
        <w:rPr>
          <w:rFonts w:ascii="Verdana" w:hAnsi="Verdana"/>
          <w:color w:val="auto"/>
        </w:rPr>
        <w:t xml:space="preserve"> </w:t>
      </w:r>
      <w:proofErr w:type="gramStart"/>
      <w:r w:rsidR="000C359F" w:rsidRPr="00BD6CDD">
        <w:rPr>
          <w:rFonts w:ascii="Verdana" w:hAnsi="Verdana"/>
          <w:color w:val="auto"/>
          <w:lang w:val="en-US"/>
        </w:rPr>
        <w:t>(</w:t>
      </w:r>
      <w:r w:rsidR="000C359F" w:rsidRPr="00BD6CDD">
        <w:rPr>
          <w:rFonts w:ascii="Verdana" w:hAnsi="Verdana"/>
          <w:color w:val="auto"/>
        </w:rPr>
        <w:t xml:space="preserve">ЗБНЗОК </w:t>
      </w:r>
      <w:r w:rsidR="000C359F" w:rsidRPr="00C415E8">
        <w:rPr>
          <w:rFonts w:ascii="Verdana" w:hAnsi="Verdana"/>
        </w:rPr>
        <w:t>за 202</w:t>
      </w:r>
      <w:r w:rsidR="00EC6A0D">
        <w:rPr>
          <w:rFonts w:ascii="Verdana" w:hAnsi="Verdana"/>
        </w:rPr>
        <w:t xml:space="preserve">1 </w:t>
      </w:r>
      <w:r w:rsidR="000C359F" w:rsidRPr="00C415E8">
        <w:rPr>
          <w:rFonts w:ascii="Verdana" w:hAnsi="Verdana"/>
        </w:rPr>
        <w:t>г.</w:t>
      </w:r>
      <w:r w:rsidR="000C359F" w:rsidRPr="00C415E8">
        <w:rPr>
          <w:rFonts w:ascii="Verdana" w:hAnsi="Verdana"/>
          <w:lang w:val="en-US"/>
        </w:rPr>
        <w:t>)</w:t>
      </w:r>
      <w:r w:rsidRPr="00C415E8">
        <w:rPr>
          <w:rFonts w:ascii="Verdana" w:hAnsi="Verdana"/>
        </w:rPr>
        <w:t>.</w:t>
      </w:r>
      <w:proofErr w:type="gramEnd"/>
    </w:p>
    <w:p w:rsidR="00A917BB" w:rsidRPr="00C415E8" w:rsidRDefault="00A917BB" w:rsidP="00906E66">
      <w:pPr>
        <w:pStyle w:val="NormalWeb"/>
        <w:rPr>
          <w:rFonts w:ascii="Verdana" w:hAnsi="Verdana"/>
        </w:rPr>
      </w:pPr>
      <w:r w:rsidRPr="00C415E8">
        <w:rPr>
          <w:rFonts w:ascii="Verdana" w:hAnsi="Verdana"/>
        </w:rPr>
        <w:t xml:space="preserve"> </w:t>
      </w:r>
    </w:p>
    <w:p w:rsidR="00906E66" w:rsidRPr="00C415E8" w:rsidRDefault="00906E66" w:rsidP="00A75632">
      <w:pPr>
        <w:pStyle w:val="NormalWeb"/>
        <w:numPr>
          <w:ilvl w:val="0"/>
          <w:numId w:val="3"/>
        </w:numPr>
        <w:rPr>
          <w:rFonts w:ascii="Verdana" w:hAnsi="Verdana"/>
        </w:rPr>
      </w:pPr>
      <w:r w:rsidRPr="00C415E8">
        <w:rPr>
          <w:rFonts w:ascii="Verdana" w:hAnsi="Verdana"/>
        </w:rPr>
        <w:t>Легално определение</w:t>
      </w:r>
    </w:p>
    <w:p w:rsidR="00906E66" w:rsidRPr="00C415E8" w:rsidRDefault="005850BA" w:rsidP="007B6B15">
      <w:pPr>
        <w:pStyle w:val="NormalWeb"/>
        <w:rPr>
          <w:rFonts w:ascii="Verdana" w:hAnsi="Verdana"/>
        </w:rPr>
      </w:pPr>
      <w:r w:rsidRPr="00C415E8">
        <w:rPr>
          <w:rFonts w:ascii="Verdana" w:hAnsi="Verdana"/>
        </w:rPr>
        <w:t xml:space="preserve">По смисъла на ЗЗО </w:t>
      </w:r>
      <w:r w:rsidR="007B6B15" w:rsidRPr="00C415E8">
        <w:rPr>
          <w:rFonts w:ascii="Verdana" w:hAnsi="Verdana"/>
        </w:rPr>
        <w:t>"</w:t>
      </w:r>
      <w:r w:rsidR="007B6B15" w:rsidRPr="00C415E8">
        <w:rPr>
          <w:rStyle w:val="ldef1"/>
          <w:rFonts w:ascii="Verdana" w:hAnsi="Verdana"/>
        </w:rPr>
        <w:t>Механизъм, гарантиращ предвидимост и устойчивост на бюджета на НЗОК</w:t>
      </w:r>
      <w:r w:rsidR="007B6B15" w:rsidRPr="00C415E8">
        <w:rPr>
          <w:rFonts w:ascii="Verdana" w:hAnsi="Verdana"/>
        </w:rPr>
        <w:t>" е компенсаторна мярка, прилагана при наличие на превишаване на съответните средства за здравноосигурителни плащания за лекарствени продукти, определени в закона за бюджета на НЗОК за съответната година, с цел осигуряване на достъп на здравноосигурените лица до лечение с лекарствени продукти</w:t>
      </w:r>
      <w:r w:rsidRPr="00C415E8">
        <w:rPr>
          <w:rFonts w:ascii="Verdana" w:hAnsi="Verdana"/>
        </w:rPr>
        <w:t xml:space="preserve">“ </w:t>
      </w:r>
      <w:r w:rsidRPr="00C415E8">
        <w:rPr>
          <w:rFonts w:ascii="Verdana" w:hAnsi="Verdana"/>
          <w:lang w:val="en-US"/>
        </w:rPr>
        <w:t>(</w:t>
      </w:r>
      <w:r w:rsidRPr="00C415E8">
        <w:rPr>
          <w:rFonts w:ascii="Verdana" w:hAnsi="Verdana"/>
        </w:rPr>
        <w:t>§1, т.29 от Допълнителните разпоредби на ЗЗО</w:t>
      </w:r>
      <w:r w:rsidRPr="00C415E8">
        <w:rPr>
          <w:rFonts w:ascii="Verdana" w:hAnsi="Verdana"/>
          <w:lang w:val="en-US"/>
        </w:rPr>
        <w:t>)</w:t>
      </w:r>
      <w:r w:rsidR="007B6B15" w:rsidRPr="00C415E8">
        <w:rPr>
          <w:rFonts w:ascii="Verdana" w:hAnsi="Verdana"/>
        </w:rPr>
        <w:t>.</w:t>
      </w:r>
    </w:p>
    <w:p w:rsidR="00906E66" w:rsidRPr="00C415E8" w:rsidRDefault="00906E66" w:rsidP="00906E66">
      <w:pPr>
        <w:pStyle w:val="NormalWeb"/>
        <w:ind w:left="1710" w:firstLine="0"/>
        <w:rPr>
          <w:rFonts w:ascii="Verdana" w:hAnsi="Verdana"/>
        </w:rPr>
      </w:pPr>
    </w:p>
    <w:p w:rsidR="00B707EE" w:rsidRPr="00C415E8" w:rsidRDefault="00B707EE" w:rsidP="00A75632">
      <w:pPr>
        <w:pStyle w:val="NormalWeb"/>
        <w:numPr>
          <w:ilvl w:val="0"/>
          <w:numId w:val="3"/>
        </w:numPr>
        <w:rPr>
          <w:rFonts w:ascii="Verdana" w:hAnsi="Verdana"/>
        </w:rPr>
      </w:pPr>
      <w:r w:rsidRPr="00C415E8">
        <w:rPr>
          <w:rFonts w:ascii="Verdana" w:hAnsi="Verdana"/>
        </w:rPr>
        <w:t>Същност на Механизма</w:t>
      </w:r>
    </w:p>
    <w:p w:rsidR="00692FE8" w:rsidRPr="009C05CD" w:rsidRDefault="00692FE8" w:rsidP="00692FE8">
      <w:pPr>
        <w:pStyle w:val="NormalWeb"/>
        <w:rPr>
          <w:rFonts w:ascii="Verdana" w:hAnsi="Verdana"/>
        </w:rPr>
      </w:pPr>
      <w:r w:rsidRPr="00C415E8">
        <w:rPr>
          <w:rFonts w:ascii="Verdana" w:hAnsi="Verdana"/>
        </w:rPr>
        <w:t>Притежателите на разрешения за упо</w:t>
      </w:r>
      <w:r w:rsidR="00DB7C80" w:rsidRPr="00C415E8">
        <w:rPr>
          <w:rFonts w:ascii="Verdana" w:hAnsi="Verdana"/>
        </w:rPr>
        <w:t xml:space="preserve">треба на лекарствените продукти, заплащани напълно или частично от НЗОК, </w:t>
      </w:r>
      <w:r w:rsidRPr="00C415E8">
        <w:rPr>
          <w:rFonts w:ascii="Verdana" w:hAnsi="Verdana"/>
        </w:rPr>
        <w:t>възстановяват превишените средства, установени при прилагане на ме</w:t>
      </w:r>
      <w:r w:rsidR="00DB7C80" w:rsidRPr="00C415E8">
        <w:rPr>
          <w:rFonts w:ascii="Verdana" w:hAnsi="Verdana"/>
        </w:rPr>
        <w:t>ханизма. Възстановяването се извършва</w:t>
      </w:r>
      <w:r w:rsidRPr="00C415E8">
        <w:rPr>
          <w:rFonts w:ascii="Verdana" w:hAnsi="Verdana"/>
        </w:rPr>
        <w:t xml:space="preserve"> при условията и по реда на</w:t>
      </w:r>
      <w:r w:rsidR="00DB7C80" w:rsidRPr="00C415E8">
        <w:rPr>
          <w:rFonts w:ascii="Verdana" w:hAnsi="Verdana"/>
        </w:rPr>
        <w:t xml:space="preserve"> </w:t>
      </w:r>
      <w:r w:rsidR="00EC6A0D" w:rsidRPr="00EC6A0D">
        <w:rPr>
          <w:rFonts w:ascii="Verdana" w:hAnsi="Verdana"/>
          <w:bCs/>
          <w:i/>
          <w:highlight w:val="white"/>
          <w:shd w:val="clear" w:color="auto" w:fill="FEFEFE"/>
        </w:rPr>
        <w:t xml:space="preserve">Наредба № 10 от 2009 г. за условията, реда, механизма и критериите за заплащане от Националната здравноосигурителна на лекарствени продукти, медицински изделия и на диетични храни за специални медицински </w:t>
      </w:r>
      <w:r w:rsidR="00EC6A0D" w:rsidRPr="00EC6A0D">
        <w:rPr>
          <w:rFonts w:ascii="Verdana" w:hAnsi="Verdana"/>
          <w:bCs/>
          <w:i/>
          <w:highlight w:val="white"/>
          <w:shd w:val="clear" w:color="auto" w:fill="FEFEFE"/>
        </w:rPr>
        <w:lastRenderedPageBreak/>
        <w:t xml:space="preserve">цели, договаряне на отстъпки и </w:t>
      </w:r>
      <w:r w:rsidR="00EC6A0D" w:rsidRPr="00EC6A0D">
        <w:rPr>
          <w:rFonts w:ascii="Verdana" w:hAnsi="Verdana"/>
          <w:i/>
          <w:lang w:eastAsia="en-US"/>
        </w:rPr>
        <w:t>възстановяване на превишените средства при прилагане на механизъм, гарантиращ</w:t>
      </w:r>
      <w:r w:rsidR="00EC6A0D" w:rsidRPr="00EC6A0D">
        <w:rPr>
          <w:rFonts w:ascii="Verdana" w:hAnsi="Verdana"/>
          <w:bCs/>
          <w:i/>
          <w:highlight w:val="white"/>
          <w:shd w:val="clear" w:color="auto" w:fill="FEFEFE"/>
        </w:rPr>
        <w:t xml:space="preserve"> предвидимост и устойчивост на бюджета на НЗОК</w:t>
      </w:r>
      <w:r w:rsidR="00EC6A0D" w:rsidRPr="00EC6A0D">
        <w:rPr>
          <w:rFonts w:ascii="Verdana" w:hAnsi="Verdana"/>
          <w:bCs/>
          <w:shd w:val="clear" w:color="auto" w:fill="FEFEFE"/>
        </w:rPr>
        <w:t xml:space="preserve"> </w:t>
      </w:r>
      <w:r w:rsidR="00EC6A0D" w:rsidRPr="00EC6A0D">
        <w:rPr>
          <w:rFonts w:ascii="Verdana" w:hAnsi="Verdana"/>
          <w:lang w:val="en-US"/>
        </w:rPr>
        <w:t>(</w:t>
      </w:r>
      <w:r w:rsidR="00EC6A0D" w:rsidRPr="00EC6A0D">
        <w:rPr>
          <w:rFonts w:ascii="Verdana" w:hAnsi="Verdana"/>
        </w:rPr>
        <w:t>наричана за краткост „Наредба №10“</w:t>
      </w:r>
      <w:r w:rsidR="00EC6A0D" w:rsidRPr="00EC6A0D">
        <w:rPr>
          <w:rFonts w:ascii="Verdana" w:hAnsi="Verdana"/>
          <w:lang w:val="en-US"/>
        </w:rPr>
        <w:t>)</w:t>
      </w:r>
      <w:r w:rsidRPr="00EC6A0D">
        <w:rPr>
          <w:rFonts w:ascii="Verdana" w:hAnsi="Verdana"/>
        </w:rPr>
        <w:t xml:space="preserve">. </w:t>
      </w:r>
      <w:r w:rsidRPr="00C415E8">
        <w:rPr>
          <w:rFonts w:ascii="Verdana" w:hAnsi="Verdana"/>
        </w:rPr>
        <w:t xml:space="preserve">Възстановяването е в пълен размер на разходите на НЗОК за лекарствени продукти над определените целеви средства в закона за бюджета на НЗОК за съответната година, като се отчита и делът на резерва при решение на Надзорния съвет на НЗОК по </w:t>
      </w:r>
      <w:hyperlink r:id="rId9" w:history="1">
        <w:r w:rsidRPr="00C415E8">
          <w:rPr>
            <w:rStyle w:val="Hyperlink"/>
            <w:rFonts w:ascii="Verdana" w:hAnsi="Verdana"/>
          </w:rPr>
          <w:t>чл. 15, ал. 1, т. 7</w:t>
        </w:r>
      </w:hyperlink>
      <w:r w:rsidR="00DB7C80" w:rsidRPr="00C415E8">
        <w:rPr>
          <w:rFonts w:ascii="Verdana" w:hAnsi="Verdana"/>
        </w:rPr>
        <w:t xml:space="preserve"> от ЗЗО</w:t>
      </w:r>
      <w:r w:rsidR="0057743A" w:rsidRPr="00C415E8">
        <w:rPr>
          <w:rFonts w:ascii="Verdana" w:hAnsi="Verdana"/>
        </w:rPr>
        <w:t xml:space="preserve"> </w:t>
      </w:r>
      <w:r w:rsidR="009C05CD">
        <w:rPr>
          <w:rFonts w:ascii="Verdana" w:hAnsi="Verdana"/>
        </w:rPr>
        <w:t xml:space="preserve">за използването му </w:t>
      </w:r>
      <w:r w:rsidR="0057743A" w:rsidRPr="00C415E8">
        <w:rPr>
          <w:rFonts w:ascii="Verdana" w:hAnsi="Verdana"/>
          <w:lang w:val="en-US"/>
        </w:rPr>
        <w:t>(</w:t>
      </w:r>
      <w:r w:rsidR="0057743A" w:rsidRPr="00C415E8">
        <w:rPr>
          <w:rFonts w:ascii="Verdana" w:hAnsi="Verdana"/>
        </w:rPr>
        <w:t>чл.45, ал.3</w:t>
      </w:r>
      <w:r w:rsidR="00E40AE4">
        <w:rPr>
          <w:rFonts w:ascii="Verdana" w:hAnsi="Verdana"/>
        </w:rPr>
        <w:t>4</w:t>
      </w:r>
      <w:r w:rsidR="0057743A" w:rsidRPr="00C415E8">
        <w:rPr>
          <w:rFonts w:ascii="Verdana" w:hAnsi="Verdana"/>
        </w:rPr>
        <w:t xml:space="preserve"> от ЗЗО</w:t>
      </w:r>
      <w:r w:rsidR="0057743A" w:rsidRPr="00C415E8">
        <w:rPr>
          <w:rFonts w:ascii="Verdana" w:hAnsi="Verdana"/>
          <w:lang w:val="en-US"/>
        </w:rPr>
        <w:t>)</w:t>
      </w:r>
      <w:r w:rsidRPr="00C415E8">
        <w:rPr>
          <w:rFonts w:ascii="Verdana" w:hAnsi="Verdana"/>
        </w:rPr>
        <w:t>.</w:t>
      </w:r>
      <w:r w:rsidR="009C05CD">
        <w:rPr>
          <w:rFonts w:ascii="Verdana" w:hAnsi="Verdana"/>
        </w:rPr>
        <w:t xml:space="preserve"> Делът на резерва за всяка една основна група лекарствени продукти </w:t>
      </w:r>
      <w:r w:rsidR="009C05CD" w:rsidRPr="009C05CD">
        <w:rPr>
          <w:rFonts w:ascii="Verdana" w:hAnsi="Verdana"/>
        </w:rPr>
        <w:t xml:space="preserve">е определен като абсолютна сума </w:t>
      </w:r>
      <w:r w:rsidR="009C05CD">
        <w:rPr>
          <w:rFonts w:ascii="Verdana" w:hAnsi="Verdana"/>
        </w:rPr>
        <w:t xml:space="preserve">съответно </w:t>
      </w:r>
      <w:r w:rsidR="009C05CD" w:rsidRPr="009C05CD">
        <w:rPr>
          <w:rFonts w:ascii="Verdana" w:hAnsi="Verdana"/>
        </w:rPr>
        <w:t>в чл.1, ал.2, т.1.3.5, 1.3.6. и 1.3.7. от ЗБНЗОК за 2021г.</w:t>
      </w:r>
    </w:p>
    <w:p w:rsidR="009C05CD" w:rsidRDefault="009771E4" w:rsidP="00692FE8">
      <w:pPr>
        <w:pStyle w:val="NormalWeb"/>
        <w:rPr>
          <w:rFonts w:ascii="Verdana" w:hAnsi="Verdana"/>
        </w:rPr>
      </w:pPr>
      <w:r w:rsidRPr="00C415E8">
        <w:rPr>
          <w:rFonts w:ascii="Verdana" w:hAnsi="Verdana"/>
        </w:rPr>
        <w:t>Съгласно посочен</w:t>
      </w:r>
      <w:r w:rsidR="009C05CD">
        <w:rPr>
          <w:rFonts w:ascii="Verdana" w:hAnsi="Verdana"/>
        </w:rPr>
        <w:t>и</w:t>
      </w:r>
      <w:r w:rsidRPr="00C415E8">
        <w:rPr>
          <w:rFonts w:ascii="Verdana" w:hAnsi="Verdana"/>
        </w:rPr>
        <w:t>т</w:t>
      </w:r>
      <w:r w:rsidR="009C05CD">
        <w:rPr>
          <w:rFonts w:ascii="Verdana" w:hAnsi="Verdana"/>
        </w:rPr>
        <w:t>е</w:t>
      </w:r>
      <w:r w:rsidRPr="00C415E8">
        <w:rPr>
          <w:rFonts w:ascii="Verdana" w:hAnsi="Verdana"/>
        </w:rPr>
        <w:t xml:space="preserve"> норм</w:t>
      </w:r>
      <w:r w:rsidR="009C05CD">
        <w:rPr>
          <w:rFonts w:ascii="Verdana" w:hAnsi="Verdana"/>
        </w:rPr>
        <w:t>и</w:t>
      </w:r>
      <w:r w:rsidRPr="00C415E8">
        <w:rPr>
          <w:rFonts w:ascii="Verdana" w:hAnsi="Verdana"/>
        </w:rPr>
        <w:t>, отнесен</w:t>
      </w:r>
      <w:r w:rsidR="009C05CD">
        <w:rPr>
          <w:rFonts w:ascii="Verdana" w:hAnsi="Verdana"/>
        </w:rPr>
        <w:t>и</w:t>
      </w:r>
      <w:r w:rsidRPr="00C415E8">
        <w:rPr>
          <w:rFonts w:ascii="Verdana" w:hAnsi="Verdana"/>
        </w:rPr>
        <w:t xml:space="preserve"> към 202</w:t>
      </w:r>
      <w:r w:rsidR="009C05CD">
        <w:rPr>
          <w:rFonts w:ascii="Verdana" w:hAnsi="Verdana"/>
        </w:rPr>
        <w:t xml:space="preserve">1 </w:t>
      </w:r>
      <w:r w:rsidRPr="00C415E8">
        <w:rPr>
          <w:rFonts w:ascii="Verdana" w:hAnsi="Verdana"/>
        </w:rPr>
        <w:t xml:space="preserve">г., </w:t>
      </w:r>
      <w:r w:rsidR="00C07927" w:rsidRPr="00C415E8">
        <w:rPr>
          <w:rFonts w:ascii="Verdana" w:hAnsi="Verdana"/>
        </w:rPr>
        <w:t>чрез</w:t>
      </w:r>
      <w:r w:rsidRPr="00C415E8">
        <w:rPr>
          <w:rFonts w:ascii="Verdana" w:hAnsi="Verdana"/>
        </w:rPr>
        <w:t xml:space="preserve"> прилагане на Механизма следва да се възстановят в пълен размер</w:t>
      </w:r>
      <w:r w:rsidR="00F031EA" w:rsidRPr="00C415E8">
        <w:rPr>
          <w:rFonts w:ascii="Verdana" w:hAnsi="Verdana"/>
        </w:rPr>
        <w:t xml:space="preserve"> разходите на НЗОК </w:t>
      </w:r>
      <w:r w:rsidR="00221B61" w:rsidRPr="00C415E8">
        <w:rPr>
          <w:rFonts w:ascii="Verdana" w:hAnsi="Verdana"/>
        </w:rPr>
        <w:t>за 202</w:t>
      </w:r>
      <w:r w:rsidR="009C05CD">
        <w:rPr>
          <w:rFonts w:ascii="Verdana" w:hAnsi="Verdana"/>
        </w:rPr>
        <w:t xml:space="preserve">1 </w:t>
      </w:r>
      <w:r w:rsidR="00221B61" w:rsidRPr="00C415E8">
        <w:rPr>
          <w:rFonts w:ascii="Verdana" w:hAnsi="Verdana"/>
        </w:rPr>
        <w:t xml:space="preserve">г. </w:t>
      </w:r>
      <w:r w:rsidR="00F031EA" w:rsidRPr="00C415E8">
        <w:rPr>
          <w:rFonts w:ascii="Verdana" w:hAnsi="Verdana"/>
        </w:rPr>
        <w:t xml:space="preserve">за лекарствени продукти над </w:t>
      </w:r>
      <w:r w:rsidR="00C07927" w:rsidRPr="00C415E8">
        <w:rPr>
          <w:rFonts w:ascii="Verdana" w:hAnsi="Verdana"/>
        </w:rPr>
        <w:t>средствата, формирани като сбор от</w:t>
      </w:r>
      <w:r w:rsidR="009C05CD">
        <w:rPr>
          <w:rFonts w:ascii="Verdana" w:hAnsi="Verdana"/>
        </w:rPr>
        <w:t>:</w:t>
      </w:r>
    </w:p>
    <w:p w:rsidR="00BB129F" w:rsidRDefault="009C05CD" w:rsidP="00692FE8">
      <w:pPr>
        <w:pStyle w:val="NormalWeb"/>
        <w:rPr>
          <w:rFonts w:ascii="Verdana" w:hAnsi="Verdana"/>
        </w:rPr>
      </w:pPr>
      <w:r w:rsidRPr="009712EB">
        <w:rPr>
          <w:rFonts w:ascii="Verdana" w:hAnsi="Verdana"/>
        </w:rPr>
        <w:t>-</w:t>
      </w:r>
      <w:r w:rsidR="00C07927" w:rsidRPr="009712EB">
        <w:rPr>
          <w:rFonts w:ascii="Verdana" w:hAnsi="Verdana"/>
        </w:rPr>
        <w:t xml:space="preserve"> </w:t>
      </w:r>
      <w:r w:rsidR="00F031EA" w:rsidRPr="009712EB">
        <w:rPr>
          <w:rFonts w:ascii="Verdana" w:hAnsi="Verdana"/>
        </w:rPr>
        <w:t>средства</w:t>
      </w:r>
      <w:r w:rsidR="00BB129F">
        <w:rPr>
          <w:rFonts w:ascii="Verdana" w:hAnsi="Verdana"/>
        </w:rPr>
        <w:t>та</w:t>
      </w:r>
      <w:r w:rsidR="00F031EA" w:rsidRPr="009712EB">
        <w:rPr>
          <w:rFonts w:ascii="Verdana" w:hAnsi="Verdana"/>
        </w:rPr>
        <w:t xml:space="preserve">, </w:t>
      </w:r>
      <w:r w:rsidR="00BB129F">
        <w:rPr>
          <w:rFonts w:ascii="Verdana" w:hAnsi="Verdana"/>
        </w:rPr>
        <w:t>определени</w:t>
      </w:r>
      <w:r w:rsidR="00F031EA" w:rsidRPr="009712EB">
        <w:rPr>
          <w:rFonts w:ascii="Verdana" w:hAnsi="Verdana"/>
        </w:rPr>
        <w:t xml:space="preserve"> в чл.1, </w:t>
      </w:r>
      <w:r w:rsidR="00C07927" w:rsidRPr="009712EB">
        <w:rPr>
          <w:rFonts w:ascii="Verdana" w:hAnsi="Verdana"/>
        </w:rPr>
        <w:t xml:space="preserve">ал.2, т.1.1.3.5. от </w:t>
      </w:r>
      <w:r w:rsidR="00BB129F" w:rsidRPr="009712EB">
        <w:rPr>
          <w:rFonts w:ascii="Verdana" w:hAnsi="Verdana"/>
        </w:rPr>
        <w:t xml:space="preserve">ЗБНЗОК за 2021 г. </w:t>
      </w:r>
      <w:r w:rsidR="003979BB" w:rsidRPr="009712EB">
        <w:rPr>
          <w:rFonts w:ascii="Verdana" w:hAnsi="Verdana"/>
        </w:rPr>
        <w:t xml:space="preserve"> </w:t>
      </w:r>
      <w:r w:rsidR="00BB129F">
        <w:rPr>
          <w:rFonts w:ascii="Verdana" w:hAnsi="Verdana"/>
        </w:rPr>
        <w:t>в размер</w:t>
      </w:r>
      <w:r w:rsidR="003979BB" w:rsidRPr="009712EB">
        <w:rPr>
          <w:rFonts w:ascii="Verdana" w:hAnsi="Verdana"/>
        </w:rPr>
        <w:t xml:space="preserve"> </w:t>
      </w:r>
      <w:r w:rsidR="003979BB" w:rsidRPr="009712EB">
        <w:rPr>
          <w:rFonts w:ascii="Verdana" w:hAnsi="Verdana"/>
          <w:color w:val="auto"/>
          <w:shd w:val="clear" w:color="auto" w:fill="FFFFFF"/>
        </w:rPr>
        <w:t xml:space="preserve">1 332 000 </w:t>
      </w:r>
      <w:proofErr w:type="spellStart"/>
      <w:r w:rsidR="003979BB" w:rsidRPr="009712EB">
        <w:rPr>
          <w:rFonts w:ascii="Verdana" w:hAnsi="Verdana"/>
          <w:color w:val="auto"/>
          <w:shd w:val="clear" w:color="auto" w:fill="FFFFFF"/>
        </w:rPr>
        <w:t>000</w:t>
      </w:r>
      <w:proofErr w:type="spellEnd"/>
      <w:r w:rsidR="003979BB" w:rsidRPr="009712EB">
        <w:rPr>
          <w:rFonts w:ascii="Verdana" w:hAnsi="Verdana"/>
          <w:color w:val="auto"/>
          <w:shd w:val="clear" w:color="auto" w:fill="FFFFFF"/>
        </w:rPr>
        <w:t xml:space="preserve"> лв.</w:t>
      </w:r>
      <w:r w:rsidR="009712EB" w:rsidRPr="009712EB">
        <w:rPr>
          <w:rFonts w:ascii="Verdana" w:hAnsi="Verdana"/>
        </w:rPr>
        <w:t xml:space="preserve"> </w:t>
      </w:r>
      <w:r w:rsidR="009712EB" w:rsidRPr="009712EB">
        <w:rPr>
          <w:rFonts w:ascii="Verdana" w:hAnsi="Verdana"/>
          <w:lang w:val="en-US"/>
        </w:rPr>
        <w:t>(</w:t>
      </w:r>
      <w:proofErr w:type="gramStart"/>
      <w:r w:rsidR="009712EB" w:rsidRPr="009712EB">
        <w:rPr>
          <w:rFonts w:ascii="Verdana" w:hAnsi="Verdana"/>
        </w:rPr>
        <w:t>от</w:t>
      </w:r>
      <w:proofErr w:type="gramEnd"/>
      <w:r w:rsidR="009712EB" w:rsidRPr="009712EB">
        <w:rPr>
          <w:rFonts w:ascii="Verdana" w:hAnsi="Verdana"/>
        </w:rPr>
        <w:t xml:space="preserve"> които се приспадат средствата за </w:t>
      </w:r>
      <w:r w:rsidR="00D71197">
        <w:rPr>
          <w:rFonts w:ascii="Verdana" w:hAnsi="Verdana"/>
        </w:rPr>
        <w:t xml:space="preserve">2021г. за </w:t>
      </w:r>
      <w:r w:rsidR="00BB129F" w:rsidRPr="00C415E8">
        <w:rPr>
          <w:rFonts w:ascii="Verdana" w:hAnsi="Verdana"/>
        </w:rPr>
        <w:t>медицински</w:t>
      </w:r>
      <w:r w:rsidR="00D71197">
        <w:rPr>
          <w:rFonts w:ascii="Verdana" w:hAnsi="Verdana"/>
        </w:rPr>
        <w:t>те</w:t>
      </w:r>
      <w:r w:rsidR="00BB129F" w:rsidRPr="00C415E8">
        <w:rPr>
          <w:rFonts w:ascii="Verdana" w:hAnsi="Verdana"/>
        </w:rPr>
        <w:t xml:space="preserve"> изделия в </w:t>
      </w:r>
      <w:proofErr w:type="spellStart"/>
      <w:r w:rsidR="00BB129F" w:rsidRPr="00C415E8">
        <w:rPr>
          <w:rFonts w:ascii="Verdana" w:hAnsi="Verdana"/>
        </w:rPr>
        <w:t>извънболничната</w:t>
      </w:r>
      <w:proofErr w:type="spellEnd"/>
      <w:r w:rsidR="00BB129F" w:rsidRPr="00C415E8">
        <w:rPr>
          <w:rFonts w:ascii="Verdana" w:hAnsi="Verdana"/>
        </w:rPr>
        <w:t xml:space="preserve"> медицинска помощ и за диетичните храни за специални медицински цели</w:t>
      </w:r>
      <w:r w:rsidR="009712EB" w:rsidRPr="009712EB">
        <w:rPr>
          <w:rFonts w:ascii="Verdana" w:hAnsi="Verdana"/>
          <w:lang w:val="en-US"/>
        </w:rPr>
        <w:t>)</w:t>
      </w:r>
      <w:r w:rsidRPr="009712EB">
        <w:rPr>
          <w:rFonts w:ascii="Verdana" w:hAnsi="Verdana"/>
        </w:rPr>
        <w:t>,</w:t>
      </w:r>
      <w:r w:rsidR="00C07927" w:rsidRPr="009712EB">
        <w:rPr>
          <w:rFonts w:ascii="Verdana" w:hAnsi="Verdana"/>
        </w:rPr>
        <w:t xml:space="preserve"> </w:t>
      </w:r>
    </w:p>
    <w:p w:rsidR="009C05CD" w:rsidRPr="009712EB" w:rsidRDefault="00C07927" w:rsidP="00692FE8">
      <w:pPr>
        <w:pStyle w:val="NormalWeb"/>
        <w:rPr>
          <w:rFonts w:ascii="Verdana" w:hAnsi="Verdana"/>
        </w:rPr>
      </w:pPr>
      <w:r w:rsidRPr="009712EB">
        <w:rPr>
          <w:rFonts w:ascii="Verdana" w:hAnsi="Verdana"/>
        </w:rPr>
        <w:t xml:space="preserve">и </w:t>
      </w:r>
    </w:p>
    <w:p w:rsidR="009771E4" w:rsidRPr="00F8654B" w:rsidRDefault="009C05CD" w:rsidP="00692FE8">
      <w:pPr>
        <w:pStyle w:val="NormalWeb"/>
        <w:rPr>
          <w:rFonts w:ascii="Verdana" w:hAnsi="Verdana"/>
        </w:rPr>
      </w:pPr>
      <w:r w:rsidRPr="009712EB">
        <w:rPr>
          <w:rFonts w:ascii="Verdana" w:hAnsi="Verdana"/>
        </w:rPr>
        <w:t xml:space="preserve">- </w:t>
      </w:r>
      <w:r w:rsidR="00C07927" w:rsidRPr="009712EB">
        <w:rPr>
          <w:rFonts w:ascii="Verdana" w:hAnsi="Verdana"/>
        </w:rPr>
        <w:t>средства</w:t>
      </w:r>
      <w:r w:rsidRPr="009712EB">
        <w:rPr>
          <w:rFonts w:ascii="Verdana" w:hAnsi="Verdana"/>
        </w:rPr>
        <w:t>та</w:t>
      </w:r>
      <w:r w:rsidR="00C07927" w:rsidRPr="009712EB">
        <w:rPr>
          <w:rFonts w:ascii="Verdana" w:hAnsi="Verdana"/>
        </w:rPr>
        <w:t xml:space="preserve"> от резерва </w:t>
      </w:r>
      <w:r w:rsidR="00BB129F">
        <w:rPr>
          <w:rFonts w:ascii="Verdana" w:hAnsi="Verdana"/>
        </w:rPr>
        <w:t>за непредвидени и неотложни случаи, определени</w:t>
      </w:r>
      <w:r w:rsidR="00F8654B" w:rsidRPr="009712EB">
        <w:rPr>
          <w:rFonts w:ascii="Verdana" w:hAnsi="Verdana"/>
        </w:rPr>
        <w:t xml:space="preserve"> в чл.1, ал.2, т.1.3.5, 1.3.6. и 1.3.7. от ЗБНЗОК за 2021г. </w:t>
      </w:r>
      <w:r w:rsidR="00BB129F" w:rsidRPr="009712EB">
        <w:rPr>
          <w:rFonts w:ascii="Verdana" w:hAnsi="Verdana"/>
        </w:rPr>
        <w:t>за трите основни групи лекарствени продукти</w:t>
      </w:r>
      <w:r w:rsidR="00BB129F">
        <w:rPr>
          <w:rFonts w:ascii="Verdana" w:hAnsi="Verdana"/>
        </w:rPr>
        <w:t>, в общ размер</w:t>
      </w:r>
      <w:r w:rsidR="003979BB" w:rsidRPr="009712EB">
        <w:rPr>
          <w:rFonts w:ascii="Verdana" w:hAnsi="Verdana"/>
        </w:rPr>
        <w:t xml:space="preserve"> 37 000 </w:t>
      </w:r>
      <w:proofErr w:type="spellStart"/>
      <w:r w:rsidR="003979BB" w:rsidRPr="009712EB">
        <w:rPr>
          <w:rFonts w:ascii="Verdana" w:hAnsi="Verdana"/>
        </w:rPr>
        <w:t>000</w:t>
      </w:r>
      <w:proofErr w:type="spellEnd"/>
      <w:r w:rsidR="003979BB" w:rsidRPr="009712EB">
        <w:rPr>
          <w:rFonts w:ascii="Verdana" w:hAnsi="Verdana"/>
        </w:rPr>
        <w:t xml:space="preserve"> лв.</w:t>
      </w:r>
      <w:r w:rsidR="00F8654B" w:rsidRPr="00F8654B">
        <w:rPr>
          <w:rFonts w:ascii="Verdana" w:hAnsi="Verdana"/>
        </w:rPr>
        <w:t xml:space="preserve"> </w:t>
      </w:r>
      <w:r w:rsidR="00066F29" w:rsidRPr="00F8654B">
        <w:rPr>
          <w:rFonts w:ascii="Verdana" w:hAnsi="Verdana"/>
        </w:rPr>
        <w:t xml:space="preserve"> </w:t>
      </w:r>
    </w:p>
    <w:p w:rsidR="005850BA" w:rsidRPr="00C415E8" w:rsidRDefault="005850BA" w:rsidP="005850BA">
      <w:pPr>
        <w:pStyle w:val="NormalWeb"/>
        <w:ind w:left="990" w:firstLine="0"/>
        <w:rPr>
          <w:rFonts w:ascii="Verdana" w:hAnsi="Verdana"/>
        </w:rPr>
      </w:pPr>
    </w:p>
    <w:p w:rsidR="00906E66" w:rsidRPr="00C415E8" w:rsidRDefault="00906E66" w:rsidP="00A75632">
      <w:pPr>
        <w:pStyle w:val="NormalWeb"/>
        <w:numPr>
          <w:ilvl w:val="0"/>
          <w:numId w:val="3"/>
        </w:numPr>
        <w:rPr>
          <w:rFonts w:ascii="Verdana" w:hAnsi="Verdana"/>
        </w:rPr>
      </w:pPr>
      <w:r w:rsidRPr="00C415E8">
        <w:rPr>
          <w:rFonts w:ascii="Verdana" w:hAnsi="Verdana"/>
        </w:rPr>
        <w:t>Материален, персонален и времеви обхват</w:t>
      </w:r>
    </w:p>
    <w:p w:rsidR="00A917BB" w:rsidRPr="00C415E8" w:rsidRDefault="00A917BB" w:rsidP="00906E66">
      <w:pPr>
        <w:pStyle w:val="NormalWeb"/>
        <w:ind w:left="990" w:firstLine="0"/>
        <w:rPr>
          <w:rFonts w:ascii="Verdana" w:hAnsi="Verdana"/>
        </w:rPr>
      </w:pPr>
      <w:r w:rsidRPr="00C415E8">
        <w:rPr>
          <w:rFonts w:ascii="Verdana" w:hAnsi="Verdana"/>
        </w:rPr>
        <w:t>Механизмът се прилага:</w:t>
      </w:r>
    </w:p>
    <w:p w:rsidR="00A917BB" w:rsidRPr="00C415E8" w:rsidRDefault="00A917BB" w:rsidP="00A917BB">
      <w:pPr>
        <w:pStyle w:val="NormalWeb"/>
        <w:rPr>
          <w:rFonts w:ascii="Verdana" w:hAnsi="Verdana"/>
        </w:rPr>
      </w:pPr>
      <w:r w:rsidRPr="00C415E8">
        <w:rPr>
          <w:rFonts w:ascii="Verdana" w:hAnsi="Verdana"/>
        </w:rPr>
        <w:t xml:space="preserve">1. за </w:t>
      </w:r>
      <w:r w:rsidR="00906E66" w:rsidRPr="00C415E8">
        <w:rPr>
          <w:rFonts w:ascii="Verdana" w:hAnsi="Verdana"/>
        </w:rPr>
        <w:t xml:space="preserve">всички </w:t>
      </w:r>
      <w:r w:rsidRPr="00C415E8">
        <w:rPr>
          <w:rFonts w:ascii="Verdana" w:hAnsi="Verdana"/>
        </w:rPr>
        <w:t xml:space="preserve">лекарствени продукти, включени в Позитивния лекарствен списък по </w:t>
      </w:r>
      <w:hyperlink r:id="rId10" w:history="1">
        <w:r w:rsidRPr="00C415E8">
          <w:rPr>
            <w:rStyle w:val="Hyperlink"/>
            <w:rFonts w:ascii="Verdana" w:hAnsi="Verdana"/>
          </w:rPr>
          <w:t>чл. 262, ал. 6, т. 1 от Закона за лекарствените продукти в хуманната медицина</w:t>
        </w:r>
      </w:hyperlink>
      <w:r w:rsidR="00906E66" w:rsidRPr="00C415E8">
        <w:rPr>
          <w:rFonts w:ascii="Verdana" w:hAnsi="Verdana"/>
        </w:rPr>
        <w:t xml:space="preserve"> </w:t>
      </w:r>
      <w:r w:rsidR="00906E66" w:rsidRPr="00C415E8">
        <w:rPr>
          <w:rFonts w:ascii="Verdana" w:hAnsi="Verdana"/>
          <w:lang w:val="en-US"/>
        </w:rPr>
        <w:t>(</w:t>
      </w:r>
      <w:r w:rsidR="00906E66" w:rsidRPr="00C415E8">
        <w:rPr>
          <w:rFonts w:ascii="Verdana" w:hAnsi="Verdana"/>
        </w:rPr>
        <w:t>ЗЛПХМ</w:t>
      </w:r>
      <w:r w:rsidR="00906E66" w:rsidRPr="00C415E8">
        <w:rPr>
          <w:rFonts w:ascii="Verdana" w:hAnsi="Verdana"/>
          <w:lang w:val="en-US"/>
        </w:rPr>
        <w:t>)(</w:t>
      </w:r>
      <w:r w:rsidR="00906E66" w:rsidRPr="00C415E8">
        <w:rPr>
          <w:rFonts w:ascii="Verdana" w:hAnsi="Verdana"/>
        </w:rPr>
        <w:t>т.е. от приложение №1 на ПЛС</w:t>
      </w:r>
      <w:r w:rsidR="00906E66" w:rsidRPr="00C415E8">
        <w:rPr>
          <w:rFonts w:ascii="Verdana" w:hAnsi="Verdana"/>
          <w:lang w:val="en-US"/>
        </w:rPr>
        <w:t>)</w:t>
      </w:r>
      <w:r w:rsidRPr="00C415E8">
        <w:rPr>
          <w:rFonts w:ascii="Verdana" w:hAnsi="Verdana"/>
        </w:rPr>
        <w:t xml:space="preserve">, заплащани напълно или частично от НЗОК за домашно лечение на територията на страната, и за </w:t>
      </w:r>
      <w:r w:rsidR="00906E66" w:rsidRPr="00C415E8">
        <w:rPr>
          <w:rFonts w:ascii="Verdana" w:hAnsi="Verdana"/>
        </w:rPr>
        <w:t xml:space="preserve">всички </w:t>
      </w:r>
      <w:r w:rsidRPr="00C415E8">
        <w:rPr>
          <w:rFonts w:ascii="Verdana" w:hAnsi="Verdana"/>
        </w:rPr>
        <w:t xml:space="preserve">лекарствени продукти, включени в Позитивния лекарствен списък по </w:t>
      </w:r>
      <w:hyperlink r:id="rId11" w:history="1">
        <w:r w:rsidRPr="00C415E8">
          <w:rPr>
            <w:rStyle w:val="Hyperlink"/>
            <w:rFonts w:ascii="Verdana" w:hAnsi="Verdana"/>
          </w:rPr>
          <w:t xml:space="preserve">чл. 262, ал. 6, т. 2 от </w:t>
        </w:r>
        <w:r w:rsidR="00906E66" w:rsidRPr="00C415E8">
          <w:rPr>
            <w:rStyle w:val="Hyperlink"/>
            <w:rFonts w:ascii="Verdana" w:hAnsi="Verdana"/>
          </w:rPr>
          <w:t>ЗЛПХМ</w:t>
        </w:r>
      </w:hyperlink>
      <w:r w:rsidRPr="00C415E8">
        <w:rPr>
          <w:rFonts w:ascii="Verdana" w:hAnsi="Verdana"/>
        </w:rPr>
        <w:t xml:space="preserve"> и заплащани от НЗОК в болничната медицинска помощ извън стойността на</w:t>
      </w:r>
      <w:r w:rsidR="00906E66" w:rsidRPr="00C415E8">
        <w:rPr>
          <w:rFonts w:ascii="Verdana" w:hAnsi="Verdana"/>
        </w:rPr>
        <w:t xml:space="preserve"> оказваните медицински услуги</w:t>
      </w:r>
      <w:r w:rsidR="00533D62" w:rsidRPr="00C415E8">
        <w:rPr>
          <w:rFonts w:ascii="Verdana" w:hAnsi="Verdana"/>
          <w:lang w:val="en-US"/>
        </w:rPr>
        <w:t>)(</w:t>
      </w:r>
      <w:r w:rsidR="00533D62" w:rsidRPr="00C415E8">
        <w:rPr>
          <w:rFonts w:ascii="Verdana" w:hAnsi="Verdana"/>
        </w:rPr>
        <w:t>т.е. от приложение №2 на ПЛС</w:t>
      </w:r>
      <w:r w:rsidR="00533D62" w:rsidRPr="00C415E8">
        <w:rPr>
          <w:rFonts w:ascii="Verdana" w:hAnsi="Verdana"/>
          <w:lang w:val="en-US"/>
        </w:rPr>
        <w:t>)</w:t>
      </w:r>
      <w:r w:rsidR="00906E66" w:rsidRPr="00C415E8">
        <w:rPr>
          <w:rFonts w:ascii="Verdana" w:hAnsi="Verdana"/>
        </w:rPr>
        <w:t>;</w:t>
      </w:r>
      <w:r w:rsidRPr="00C415E8">
        <w:rPr>
          <w:rFonts w:ascii="Verdana" w:hAnsi="Verdana"/>
        </w:rPr>
        <w:t xml:space="preserve"> </w:t>
      </w:r>
    </w:p>
    <w:p w:rsidR="00A917BB" w:rsidRPr="00C415E8" w:rsidRDefault="00A917BB" w:rsidP="00A917BB">
      <w:pPr>
        <w:pStyle w:val="NormalWeb"/>
        <w:rPr>
          <w:rFonts w:ascii="Verdana" w:hAnsi="Verdana"/>
        </w:rPr>
      </w:pPr>
      <w:r w:rsidRPr="00C415E8">
        <w:rPr>
          <w:rFonts w:ascii="Verdana" w:hAnsi="Verdana"/>
        </w:rPr>
        <w:t xml:space="preserve">2. </w:t>
      </w:r>
      <w:r w:rsidR="00906E66" w:rsidRPr="00C415E8">
        <w:rPr>
          <w:rFonts w:ascii="Verdana" w:hAnsi="Verdana"/>
        </w:rPr>
        <w:t>спрямо всички</w:t>
      </w:r>
      <w:r w:rsidRPr="00C415E8">
        <w:rPr>
          <w:rFonts w:ascii="Verdana" w:hAnsi="Verdana"/>
        </w:rPr>
        <w:t xml:space="preserve"> притежатели на разрешение за употреба/техните упълномощени представители на лекарствените продукти по т. 1, за които механизмът е приложим при наличие на основанията и</w:t>
      </w:r>
      <w:r w:rsidR="00906E66" w:rsidRPr="00C415E8">
        <w:rPr>
          <w:rFonts w:ascii="Verdana" w:hAnsi="Verdana"/>
        </w:rPr>
        <w:t xml:space="preserve"> условията, установени в него;</w:t>
      </w:r>
      <w:r w:rsidRPr="00C415E8">
        <w:rPr>
          <w:rFonts w:ascii="Verdana" w:hAnsi="Verdana"/>
        </w:rPr>
        <w:t xml:space="preserve"> </w:t>
      </w:r>
    </w:p>
    <w:p w:rsidR="00A917BB" w:rsidRPr="00C415E8" w:rsidRDefault="00A917BB" w:rsidP="00A917BB">
      <w:pPr>
        <w:pStyle w:val="NormalWeb"/>
        <w:rPr>
          <w:rFonts w:ascii="Verdana" w:hAnsi="Verdana"/>
        </w:rPr>
      </w:pPr>
      <w:r w:rsidRPr="00C415E8">
        <w:rPr>
          <w:rFonts w:ascii="Verdana" w:hAnsi="Verdana"/>
        </w:rPr>
        <w:t xml:space="preserve">3. за календарната </w:t>
      </w:r>
      <w:r w:rsidR="009B2741" w:rsidRPr="00C415E8">
        <w:rPr>
          <w:rFonts w:ascii="Verdana" w:hAnsi="Verdana"/>
        </w:rPr>
        <w:t>202</w:t>
      </w:r>
      <w:r w:rsidR="0037544D">
        <w:rPr>
          <w:rFonts w:ascii="Verdana" w:hAnsi="Verdana"/>
        </w:rPr>
        <w:t xml:space="preserve">1 </w:t>
      </w:r>
      <w:r w:rsidR="009B2741" w:rsidRPr="00C415E8">
        <w:rPr>
          <w:rFonts w:ascii="Verdana" w:hAnsi="Verdana"/>
        </w:rPr>
        <w:t>г.</w:t>
      </w:r>
      <w:r w:rsidRPr="00C415E8">
        <w:rPr>
          <w:rFonts w:ascii="Verdana" w:hAnsi="Verdana"/>
        </w:rPr>
        <w:t>, за която е приет</w:t>
      </w:r>
      <w:r w:rsidR="00E40AE4">
        <w:rPr>
          <w:rFonts w:ascii="Verdana" w:hAnsi="Verdana"/>
        </w:rPr>
        <w:t xml:space="preserve"> </w:t>
      </w:r>
      <w:r w:rsidR="00E40AE4">
        <w:rPr>
          <w:rFonts w:ascii="Verdana" w:hAnsi="Verdana"/>
          <w:lang w:val="en-US"/>
        </w:rPr>
        <w:t>(</w:t>
      </w:r>
      <w:r w:rsidR="00E40AE4">
        <w:rPr>
          <w:rFonts w:ascii="Verdana" w:hAnsi="Verdana"/>
        </w:rPr>
        <w:t>чл.45,ал.32 от ЗЗО</w:t>
      </w:r>
      <w:r w:rsidR="00E40AE4">
        <w:rPr>
          <w:rFonts w:ascii="Verdana" w:hAnsi="Verdana"/>
          <w:lang w:val="en-US"/>
        </w:rPr>
        <w:t>)</w:t>
      </w:r>
      <w:r w:rsidRPr="00C415E8">
        <w:rPr>
          <w:rFonts w:ascii="Verdana" w:hAnsi="Verdana"/>
        </w:rPr>
        <w:t>.</w:t>
      </w:r>
    </w:p>
    <w:p w:rsidR="005850BA" w:rsidRPr="00C415E8" w:rsidRDefault="005850BA" w:rsidP="00A917BB">
      <w:pPr>
        <w:pStyle w:val="NormalWeb"/>
        <w:rPr>
          <w:rFonts w:ascii="Verdana" w:hAnsi="Verdana"/>
        </w:rPr>
      </w:pPr>
    </w:p>
    <w:p w:rsidR="00056623" w:rsidRDefault="005850BA" w:rsidP="00056623">
      <w:pPr>
        <w:pStyle w:val="NormalWeb"/>
        <w:numPr>
          <w:ilvl w:val="0"/>
          <w:numId w:val="3"/>
        </w:numPr>
        <w:rPr>
          <w:rFonts w:ascii="Verdana" w:hAnsi="Verdana"/>
          <w:lang w:val="en-US"/>
        </w:rPr>
      </w:pPr>
      <w:r w:rsidRPr="00C415E8">
        <w:rPr>
          <w:rFonts w:ascii="Verdana" w:hAnsi="Verdana"/>
        </w:rPr>
        <w:t>Договорно начало</w:t>
      </w:r>
    </w:p>
    <w:p w:rsidR="00056623" w:rsidRDefault="00A917BB" w:rsidP="00056623">
      <w:pPr>
        <w:pStyle w:val="NormalWeb"/>
        <w:rPr>
          <w:rFonts w:ascii="Verdana" w:hAnsi="Verdana"/>
        </w:rPr>
      </w:pPr>
      <w:r w:rsidRPr="00C415E8">
        <w:rPr>
          <w:rFonts w:ascii="Verdana" w:hAnsi="Verdana"/>
        </w:rPr>
        <w:t xml:space="preserve">За прилагането на </w:t>
      </w:r>
      <w:r w:rsidR="005850BA" w:rsidRPr="00C415E8">
        <w:rPr>
          <w:rFonts w:ascii="Verdana" w:hAnsi="Verdana"/>
        </w:rPr>
        <w:t>М</w:t>
      </w:r>
      <w:r w:rsidRPr="00C415E8">
        <w:rPr>
          <w:rFonts w:ascii="Verdana" w:hAnsi="Verdana"/>
        </w:rPr>
        <w:t xml:space="preserve">еханизма </w:t>
      </w:r>
      <w:r w:rsidR="00692FE8" w:rsidRPr="00C415E8">
        <w:rPr>
          <w:rFonts w:ascii="Verdana" w:hAnsi="Verdana"/>
        </w:rPr>
        <w:t>за 202</w:t>
      </w:r>
      <w:r w:rsidR="0037544D">
        <w:rPr>
          <w:rFonts w:ascii="Verdana" w:hAnsi="Verdana"/>
        </w:rPr>
        <w:t xml:space="preserve">1 </w:t>
      </w:r>
      <w:r w:rsidR="00692FE8" w:rsidRPr="00C415E8">
        <w:rPr>
          <w:rFonts w:ascii="Verdana" w:hAnsi="Verdana"/>
        </w:rPr>
        <w:t xml:space="preserve">г. </w:t>
      </w:r>
      <w:r w:rsidRPr="00C415E8">
        <w:rPr>
          <w:rFonts w:ascii="Verdana" w:hAnsi="Verdana"/>
        </w:rPr>
        <w:t xml:space="preserve">НЗОК и притежателите на разрешения за употреба или техни упълномощени представители сключват договори до 1 </w:t>
      </w:r>
      <w:r w:rsidR="0037544D">
        <w:rPr>
          <w:rFonts w:ascii="Verdana" w:hAnsi="Verdana"/>
        </w:rPr>
        <w:t>април</w:t>
      </w:r>
      <w:r w:rsidRPr="00C415E8">
        <w:rPr>
          <w:rFonts w:ascii="Verdana" w:hAnsi="Verdana"/>
        </w:rPr>
        <w:t xml:space="preserve"> </w:t>
      </w:r>
      <w:r w:rsidR="00692FE8" w:rsidRPr="00C415E8">
        <w:rPr>
          <w:rFonts w:ascii="Verdana" w:hAnsi="Verdana"/>
        </w:rPr>
        <w:t>202</w:t>
      </w:r>
      <w:r w:rsidR="0037544D">
        <w:rPr>
          <w:rFonts w:ascii="Verdana" w:hAnsi="Verdana"/>
        </w:rPr>
        <w:t xml:space="preserve">1 </w:t>
      </w:r>
      <w:r w:rsidR="00692FE8" w:rsidRPr="00C415E8">
        <w:rPr>
          <w:rFonts w:ascii="Verdana" w:hAnsi="Verdana"/>
        </w:rPr>
        <w:t>г.</w:t>
      </w:r>
      <w:r w:rsidRPr="00C415E8">
        <w:rPr>
          <w:rFonts w:ascii="Verdana" w:hAnsi="Verdana"/>
        </w:rPr>
        <w:t xml:space="preserve">, които влизат в сила от 1 януари </w:t>
      </w:r>
      <w:r w:rsidR="00692FE8" w:rsidRPr="00C415E8">
        <w:rPr>
          <w:rFonts w:ascii="Verdana" w:hAnsi="Verdana"/>
        </w:rPr>
        <w:t>202</w:t>
      </w:r>
      <w:r w:rsidR="00DF66A3">
        <w:rPr>
          <w:rFonts w:ascii="Verdana" w:hAnsi="Verdana"/>
        </w:rPr>
        <w:t xml:space="preserve">1 </w:t>
      </w:r>
      <w:r w:rsidR="00692FE8" w:rsidRPr="00C415E8">
        <w:rPr>
          <w:rFonts w:ascii="Verdana" w:hAnsi="Verdana"/>
        </w:rPr>
        <w:t>г</w:t>
      </w:r>
      <w:r w:rsidRPr="00C415E8">
        <w:rPr>
          <w:rFonts w:ascii="Verdana" w:hAnsi="Verdana"/>
        </w:rPr>
        <w:t>. Лекарствените продукти</w:t>
      </w:r>
      <w:r w:rsidR="00692FE8" w:rsidRPr="00C415E8">
        <w:rPr>
          <w:rFonts w:ascii="Verdana" w:hAnsi="Verdana"/>
        </w:rPr>
        <w:t xml:space="preserve">, заплащани напълно или частично от </w:t>
      </w:r>
      <w:r w:rsidR="00692FE8" w:rsidRPr="00C415E8">
        <w:rPr>
          <w:rFonts w:ascii="Verdana" w:hAnsi="Verdana"/>
        </w:rPr>
        <w:lastRenderedPageBreak/>
        <w:t>НЗОК</w:t>
      </w:r>
      <w:r w:rsidRPr="00C415E8">
        <w:rPr>
          <w:rFonts w:ascii="Verdana" w:hAnsi="Verdana"/>
        </w:rPr>
        <w:t xml:space="preserve">, за които не са сключени договори до 1 </w:t>
      </w:r>
      <w:r w:rsidR="00E40AE4">
        <w:rPr>
          <w:rFonts w:ascii="Verdana" w:hAnsi="Verdana"/>
        </w:rPr>
        <w:t>април</w:t>
      </w:r>
      <w:r w:rsidRPr="00C415E8">
        <w:rPr>
          <w:rFonts w:ascii="Verdana" w:hAnsi="Verdana"/>
        </w:rPr>
        <w:t xml:space="preserve"> </w:t>
      </w:r>
      <w:r w:rsidR="00692FE8" w:rsidRPr="00C415E8">
        <w:rPr>
          <w:rFonts w:ascii="Verdana" w:hAnsi="Verdana"/>
        </w:rPr>
        <w:t>202</w:t>
      </w:r>
      <w:r w:rsidR="00E40AE4">
        <w:rPr>
          <w:rFonts w:ascii="Verdana" w:hAnsi="Verdana"/>
        </w:rPr>
        <w:t xml:space="preserve">1 </w:t>
      </w:r>
      <w:r w:rsidR="00692FE8" w:rsidRPr="00C415E8">
        <w:rPr>
          <w:rFonts w:ascii="Verdana" w:hAnsi="Verdana"/>
        </w:rPr>
        <w:t>г.</w:t>
      </w:r>
      <w:r w:rsidRPr="00C415E8">
        <w:rPr>
          <w:rFonts w:ascii="Verdana" w:hAnsi="Verdana"/>
        </w:rPr>
        <w:t>, не се заплащат от НЗОК</w:t>
      </w:r>
      <w:r w:rsidR="005850BA" w:rsidRPr="00C415E8">
        <w:rPr>
          <w:rFonts w:ascii="Verdana" w:hAnsi="Verdana"/>
        </w:rPr>
        <w:t xml:space="preserve"> </w:t>
      </w:r>
      <w:r w:rsidR="005850BA" w:rsidRPr="00C415E8">
        <w:rPr>
          <w:rFonts w:ascii="Verdana" w:hAnsi="Verdana"/>
          <w:lang w:val="en-US"/>
        </w:rPr>
        <w:t>(</w:t>
      </w:r>
      <w:r w:rsidR="005850BA" w:rsidRPr="00C415E8">
        <w:rPr>
          <w:rFonts w:ascii="Verdana" w:hAnsi="Verdana"/>
        </w:rPr>
        <w:t>чл.45, ал.3</w:t>
      </w:r>
      <w:r w:rsidR="00E40AE4">
        <w:rPr>
          <w:rFonts w:ascii="Verdana" w:hAnsi="Verdana"/>
        </w:rPr>
        <w:t>3</w:t>
      </w:r>
      <w:r w:rsidR="005850BA" w:rsidRPr="00C415E8">
        <w:rPr>
          <w:rFonts w:ascii="Verdana" w:hAnsi="Verdana"/>
        </w:rPr>
        <w:t xml:space="preserve"> от ЗЗО</w:t>
      </w:r>
      <w:r w:rsidR="005850BA" w:rsidRPr="00C415E8">
        <w:rPr>
          <w:rFonts w:ascii="Verdana" w:hAnsi="Verdana"/>
          <w:lang w:val="en-US"/>
        </w:rPr>
        <w:t>)</w:t>
      </w:r>
      <w:r w:rsidRPr="00C415E8">
        <w:rPr>
          <w:rFonts w:ascii="Verdana" w:hAnsi="Verdana"/>
        </w:rPr>
        <w:t>.</w:t>
      </w:r>
      <w:r w:rsidR="003979BB">
        <w:rPr>
          <w:rFonts w:ascii="Verdana" w:hAnsi="Verdana"/>
        </w:rPr>
        <w:t xml:space="preserve"> </w:t>
      </w:r>
    </w:p>
    <w:p w:rsidR="003979BB" w:rsidRDefault="003979BB" w:rsidP="00056623">
      <w:pPr>
        <w:pStyle w:val="NormalWeb"/>
        <w:rPr>
          <w:rFonts w:ascii="Verdana" w:hAnsi="Verdana"/>
        </w:rPr>
      </w:pPr>
      <w:r w:rsidRPr="009712EB">
        <w:rPr>
          <w:rFonts w:ascii="Verdana" w:hAnsi="Verdana"/>
        </w:rPr>
        <w:t>Преустановяване заплащането от НЗОК на лекарствените продукти, за които</w:t>
      </w:r>
      <w:r w:rsidR="00FC5774" w:rsidRPr="009712EB">
        <w:rPr>
          <w:rFonts w:ascii="Verdana" w:hAnsi="Verdana"/>
        </w:rPr>
        <w:t xml:space="preserve"> </w:t>
      </w:r>
      <w:r w:rsidRPr="009712EB">
        <w:rPr>
          <w:rFonts w:ascii="Verdana" w:hAnsi="Verdana"/>
        </w:rPr>
        <w:t xml:space="preserve">не са сключени договори </w:t>
      </w:r>
      <w:r w:rsidR="00DF66A3" w:rsidRPr="009712EB">
        <w:rPr>
          <w:rFonts w:ascii="Verdana" w:hAnsi="Verdana"/>
        </w:rPr>
        <w:t>за прилагането на Механизма за 2021г.</w:t>
      </w:r>
      <w:r w:rsidR="00DF66A3">
        <w:rPr>
          <w:rFonts w:ascii="Verdana" w:hAnsi="Verdana"/>
        </w:rPr>
        <w:t xml:space="preserve"> </w:t>
      </w:r>
      <w:r w:rsidR="00FC5774" w:rsidRPr="009712EB">
        <w:rPr>
          <w:rFonts w:ascii="Verdana" w:hAnsi="Verdana"/>
        </w:rPr>
        <w:t xml:space="preserve">в </w:t>
      </w:r>
      <w:proofErr w:type="spellStart"/>
      <w:r w:rsidR="00FC5774" w:rsidRPr="009712EB">
        <w:rPr>
          <w:rFonts w:ascii="Verdana" w:hAnsi="Verdana"/>
        </w:rPr>
        <w:t>законоустановения</w:t>
      </w:r>
      <w:proofErr w:type="spellEnd"/>
      <w:r w:rsidR="00FC5774" w:rsidRPr="009712EB">
        <w:rPr>
          <w:rFonts w:ascii="Verdana" w:hAnsi="Verdana"/>
        </w:rPr>
        <w:t xml:space="preserve"> срок</w:t>
      </w:r>
      <w:r w:rsidR="00DF66A3">
        <w:rPr>
          <w:rFonts w:ascii="Verdana" w:hAnsi="Verdana"/>
        </w:rPr>
        <w:t xml:space="preserve"> </w:t>
      </w:r>
      <w:r w:rsidR="00EB4026">
        <w:rPr>
          <w:rFonts w:ascii="Verdana" w:hAnsi="Verdana"/>
          <w:lang w:val="en-US"/>
        </w:rPr>
        <w:t>(</w:t>
      </w:r>
      <w:r w:rsidR="00DF66A3">
        <w:rPr>
          <w:rFonts w:ascii="Verdana" w:hAnsi="Verdana"/>
        </w:rPr>
        <w:t>до 1 април 2021г.</w:t>
      </w:r>
      <w:r w:rsidR="00EB4026">
        <w:rPr>
          <w:rFonts w:ascii="Verdana" w:hAnsi="Verdana"/>
          <w:lang w:val="en-US"/>
        </w:rPr>
        <w:t>)</w:t>
      </w:r>
      <w:r w:rsidRPr="009712EB">
        <w:rPr>
          <w:rFonts w:ascii="Verdana" w:hAnsi="Verdana"/>
        </w:rPr>
        <w:t xml:space="preserve">, се извършва </w:t>
      </w:r>
      <w:r w:rsidR="00FC5774" w:rsidRPr="009712EB">
        <w:rPr>
          <w:rFonts w:ascii="Verdana" w:hAnsi="Verdana"/>
        </w:rPr>
        <w:t>на основание издадена</w:t>
      </w:r>
      <w:r w:rsidRPr="009712EB">
        <w:rPr>
          <w:rFonts w:ascii="Verdana" w:hAnsi="Verdana"/>
        </w:rPr>
        <w:t xml:space="preserve"> заповед на управителя на НЗОК</w:t>
      </w:r>
      <w:r w:rsidR="00FC5774" w:rsidRPr="009712EB">
        <w:rPr>
          <w:rFonts w:ascii="Verdana" w:hAnsi="Verdana"/>
        </w:rPr>
        <w:t xml:space="preserve"> </w:t>
      </w:r>
      <w:r w:rsidR="00201E45">
        <w:rPr>
          <w:rFonts w:ascii="Verdana" w:hAnsi="Verdana"/>
        </w:rPr>
        <w:t>във връзка с</w:t>
      </w:r>
      <w:r w:rsidR="00FC5774" w:rsidRPr="009712EB">
        <w:rPr>
          <w:rFonts w:ascii="Verdana" w:hAnsi="Verdana"/>
        </w:rPr>
        <w:t xml:space="preserve"> чл.45, ал.33 от ЗЗО</w:t>
      </w:r>
      <w:r w:rsidRPr="009712EB">
        <w:rPr>
          <w:rFonts w:ascii="Verdana" w:hAnsi="Verdana"/>
        </w:rPr>
        <w:t>, считано от 16 април 2021г.</w:t>
      </w:r>
    </w:p>
    <w:p w:rsidR="00547AF6" w:rsidRDefault="00547AF6" w:rsidP="00056623">
      <w:pPr>
        <w:pStyle w:val="NormalWeb"/>
        <w:rPr>
          <w:rFonts w:ascii="Verdana" w:hAnsi="Verdana"/>
          <w:lang w:val="en-US"/>
        </w:rPr>
      </w:pPr>
    </w:p>
    <w:p w:rsidR="00B707EE" w:rsidRPr="00C415E8" w:rsidRDefault="00B707EE" w:rsidP="00056623">
      <w:pPr>
        <w:pStyle w:val="NormalWeb"/>
        <w:numPr>
          <w:ilvl w:val="0"/>
          <w:numId w:val="3"/>
        </w:numPr>
        <w:rPr>
          <w:rFonts w:ascii="Verdana" w:hAnsi="Verdana"/>
        </w:rPr>
      </w:pPr>
      <w:r w:rsidRPr="00C415E8">
        <w:rPr>
          <w:rFonts w:ascii="Verdana" w:hAnsi="Verdana"/>
        </w:rPr>
        <w:t>Действие на Механизма</w:t>
      </w:r>
    </w:p>
    <w:p w:rsidR="00A32515" w:rsidRPr="00C415E8" w:rsidRDefault="00A32515" w:rsidP="00A325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Calibri" w:hAnsi="Verdana" w:cs="Times New Roman"/>
          <w:sz w:val="24"/>
          <w:szCs w:val="24"/>
          <w:shd w:val="clear" w:color="auto" w:fill="FFFFFF"/>
        </w:rPr>
      </w:pPr>
      <w:r w:rsidRPr="00C415E8">
        <w:rPr>
          <w:rFonts w:ascii="Verdana" w:eastAsia="Calibri" w:hAnsi="Verdana" w:cs="Times New Roman"/>
          <w:sz w:val="24"/>
          <w:szCs w:val="24"/>
          <w:shd w:val="clear" w:color="auto" w:fill="FFFFFF"/>
        </w:rPr>
        <w:t>Основни групи лекарствени продукти:</w:t>
      </w:r>
    </w:p>
    <w:p w:rsidR="00A32515" w:rsidRPr="00C415E8" w:rsidRDefault="00A32515" w:rsidP="00A32515">
      <w:pPr>
        <w:spacing w:after="0" w:line="240" w:lineRule="auto"/>
        <w:ind w:firstLine="705"/>
        <w:jc w:val="both"/>
        <w:rPr>
          <w:rFonts w:ascii="Verdana" w:eastAsia="Calibri" w:hAnsi="Verdana" w:cs="Times New Roman"/>
          <w:sz w:val="24"/>
          <w:szCs w:val="24"/>
          <w:shd w:val="clear" w:color="auto" w:fill="FFFFFF"/>
        </w:rPr>
      </w:pPr>
      <w:r w:rsidRPr="00C415E8">
        <w:rPr>
          <w:rFonts w:ascii="Verdana" w:eastAsia="Calibri" w:hAnsi="Verdana" w:cs="Times New Roman"/>
          <w:sz w:val="24"/>
          <w:szCs w:val="24"/>
          <w:shd w:val="clear" w:color="auto" w:fill="FFFFFF"/>
        </w:rPr>
        <w:t>Основни групи лекарствени продукти съгласно диференцирането на лекарствените продукти и средствата за здравноосигурителни плащания за тях в ЗБНЗОК за 202</w:t>
      </w:r>
      <w:r w:rsidR="003979BB">
        <w:rPr>
          <w:rFonts w:ascii="Verdana" w:eastAsia="Calibri" w:hAnsi="Verdana" w:cs="Times New Roman"/>
          <w:sz w:val="24"/>
          <w:szCs w:val="24"/>
          <w:shd w:val="clear" w:color="auto" w:fill="FFFFFF"/>
        </w:rPr>
        <w:t xml:space="preserve">1 </w:t>
      </w:r>
      <w:r w:rsidRPr="00C415E8">
        <w:rPr>
          <w:rFonts w:ascii="Verdana" w:eastAsia="Calibri" w:hAnsi="Verdana" w:cs="Times New Roman"/>
          <w:sz w:val="24"/>
          <w:szCs w:val="24"/>
          <w:shd w:val="clear" w:color="auto" w:fill="FFFFFF"/>
        </w:rPr>
        <w:t>г.</w:t>
      </w:r>
      <w:r w:rsidR="00215BCC" w:rsidRPr="00C415E8">
        <w:rPr>
          <w:rFonts w:ascii="Verdana" w:eastAsia="Calibri" w:hAnsi="Verdana" w:cs="Times New Roman"/>
          <w:sz w:val="24"/>
          <w:szCs w:val="24"/>
          <w:shd w:val="clear" w:color="auto" w:fill="FFFFFF"/>
        </w:rPr>
        <w:t>,</w:t>
      </w:r>
      <w:r w:rsidRPr="00C415E8">
        <w:rPr>
          <w:rFonts w:ascii="Verdana" w:eastAsia="Calibri" w:hAnsi="Verdana" w:cs="Times New Roman"/>
          <w:sz w:val="24"/>
          <w:szCs w:val="24"/>
          <w:shd w:val="clear" w:color="auto" w:fill="FFFFFF"/>
        </w:rPr>
        <w:t xml:space="preserve"> са:</w:t>
      </w:r>
    </w:p>
    <w:p w:rsidR="00A32515" w:rsidRPr="00C415E8" w:rsidRDefault="00A32515" w:rsidP="00A32515">
      <w:pPr>
        <w:spacing w:after="0" w:line="240" w:lineRule="auto"/>
        <w:ind w:firstLine="705"/>
        <w:jc w:val="both"/>
        <w:rPr>
          <w:rFonts w:ascii="Verdana" w:eastAsia="Calibri" w:hAnsi="Verdana" w:cs="Times New Roman"/>
          <w:sz w:val="24"/>
          <w:szCs w:val="24"/>
          <w:shd w:val="clear" w:color="auto" w:fill="FFFFFF"/>
        </w:rPr>
      </w:pPr>
      <w:r w:rsidRPr="00C415E8">
        <w:rPr>
          <w:rFonts w:ascii="Verdana" w:eastAsia="Calibri" w:hAnsi="Verdana" w:cs="Times New Roman"/>
          <w:sz w:val="24"/>
          <w:szCs w:val="24"/>
          <w:shd w:val="clear" w:color="auto" w:fill="FFFFFF"/>
        </w:rPr>
        <w:t>а) лекарствените продукти за домашно лечение, назначавани с протокол, за които се извършва експертиза (основна група „А“, регламентирана в чл.1, ал.2, ред 1.1.3.5.1.1. от ЗБНЗОК за 20</w:t>
      </w:r>
      <w:r w:rsidR="009771E4" w:rsidRPr="00C415E8">
        <w:rPr>
          <w:rFonts w:ascii="Verdana" w:eastAsia="Calibri" w:hAnsi="Verdana" w:cs="Times New Roman"/>
          <w:sz w:val="24"/>
          <w:szCs w:val="24"/>
          <w:shd w:val="clear" w:color="auto" w:fill="FFFFFF"/>
        </w:rPr>
        <w:t>2</w:t>
      </w:r>
      <w:r w:rsidR="003979BB">
        <w:rPr>
          <w:rFonts w:ascii="Verdana" w:eastAsia="Calibri" w:hAnsi="Verdana" w:cs="Times New Roman"/>
          <w:sz w:val="24"/>
          <w:szCs w:val="24"/>
          <w:shd w:val="clear" w:color="auto" w:fill="FFFFFF"/>
        </w:rPr>
        <w:t xml:space="preserve">1 </w:t>
      </w:r>
      <w:r w:rsidRPr="00C415E8">
        <w:rPr>
          <w:rFonts w:ascii="Verdana" w:eastAsia="Calibri" w:hAnsi="Verdana" w:cs="Times New Roman"/>
          <w:sz w:val="24"/>
          <w:szCs w:val="24"/>
          <w:shd w:val="clear" w:color="auto" w:fill="FFFFFF"/>
        </w:rPr>
        <w:t>г.);</w:t>
      </w:r>
    </w:p>
    <w:p w:rsidR="00A32515" w:rsidRPr="00C415E8" w:rsidRDefault="00056623" w:rsidP="00A32515">
      <w:pPr>
        <w:spacing w:after="0" w:line="240" w:lineRule="auto"/>
        <w:ind w:firstLine="705"/>
        <w:jc w:val="both"/>
        <w:rPr>
          <w:rFonts w:ascii="Verdana" w:eastAsia="Calibri" w:hAnsi="Verdana" w:cs="Times New Roman"/>
          <w:sz w:val="24"/>
          <w:szCs w:val="24"/>
          <w:shd w:val="clear" w:color="auto" w:fill="FFFFFF"/>
        </w:rPr>
      </w:pPr>
      <w:r>
        <w:rPr>
          <w:rFonts w:ascii="Verdana" w:eastAsia="Calibri" w:hAnsi="Verdana" w:cs="Times New Roman"/>
          <w:sz w:val="24"/>
          <w:szCs w:val="24"/>
          <w:shd w:val="clear" w:color="auto" w:fill="FFFFFF"/>
        </w:rPr>
        <w:t xml:space="preserve">б) </w:t>
      </w:r>
      <w:r w:rsidR="00A32515" w:rsidRPr="00C415E8">
        <w:rPr>
          <w:rFonts w:ascii="Verdana" w:eastAsia="Calibri" w:hAnsi="Verdana" w:cs="Times New Roman"/>
          <w:sz w:val="24"/>
          <w:szCs w:val="24"/>
          <w:shd w:val="clear" w:color="auto" w:fill="FFFFFF"/>
        </w:rPr>
        <w:t>лекарствени продукти за домашно лечение на територията на страната, извън тези по буква „а“ (основна група „Б“, регламентирана в чл.1, ал.2, ред 1.1.3.5.1.2. от ЗБНЗОК за 20</w:t>
      </w:r>
      <w:r w:rsidR="009771E4" w:rsidRPr="00C415E8">
        <w:rPr>
          <w:rFonts w:ascii="Verdana" w:eastAsia="Calibri" w:hAnsi="Verdana" w:cs="Times New Roman"/>
          <w:sz w:val="24"/>
          <w:szCs w:val="24"/>
          <w:shd w:val="clear" w:color="auto" w:fill="FFFFFF"/>
        </w:rPr>
        <w:t>2</w:t>
      </w:r>
      <w:r w:rsidR="003979BB">
        <w:rPr>
          <w:rFonts w:ascii="Verdana" w:eastAsia="Calibri" w:hAnsi="Verdana" w:cs="Times New Roman"/>
          <w:sz w:val="24"/>
          <w:szCs w:val="24"/>
          <w:shd w:val="clear" w:color="auto" w:fill="FFFFFF"/>
        </w:rPr>
        <w:t xml:space="preserve">1 </w:t>
      </w:r>
      <w:r w:rsidR="00A32515" w:rsidRPr="00C415E8">
        <w:rPr>
          <w:rFonts w:ascii="Verdana" w:eastAsia="Calibri" w:hAnsi="Verdana" w:cs="Times New Roman"/>
          <w:sz w:val="24"/>
          <w:szCs w:val="24"/>
          <w:shd w:val="clear" w:color="auto" w:fill="FFFFFF"/>
        </w:rPr>
        <w:t xml:space="preserve">г.;  за целите на прилагане на Механизма, тази основна група </w:t>
      </w:r>
      <w:r w:rsidR="00A32515" w:rsidRPr="00C415E8">
        <w:rPr>
          <w:rFonts w:ascii="Verdana" w:eastAsia="Calibri" w:hAnsi="Verdana" w:cs="Times New Roman"/>
          <w:i/>
          <w:sz w:val="24"/>
          <w:szCs w:val="24"/>
          <w:shd w:val="clear" w:color="auto" w:fill="FFFFFF"/>
        </w:rPr>
        <w:t>не включва</w:t>
      </w:r>
      <w:r w:rsidR="00A32515" w:rsidRPr="00C415E8">
        <w:rPr>
          <w:rFonts w:ascii="Verdana" w:eastAsia="Calibri" w:hAnsi="Verdana" w:cs="Times New Roman"/>
          <w:sz w:val="24"/>
          <w:szCs w:val="24"/>
          <w:shd w:val="clear" w:color="auto" w:fill="FFFFFF"/>
        </w:rPr>
        <w:t xml:space="preserve"> медицинските изделия и диетичните храни за специални медицински цели в извънболничната медицинска помощ);</w:t>
      </w:r>
    </w:p>
    <w:p w:rsidR="00A32515" w:rsidRPr="00C415E8" w:rsidRDefault="00A32515" w:rsidP="00A32515">
      <w:pPr>
        <w:spacing w:after="0" w:line="240" w:lineRule="auto"/>
        <w:ind w:firstLine="705"/>
        <w:jc w:val="both"/>
        <w:rPr>
          <w:rFonts w:ascii="Verdana" w:eastAsia="Calibri" w:hAnsi="Verdana" w:cs="Times New Roman"/>
          <w:sz w:val="24"/>
          <w:szCs w:val="24"/>
          <w:shd w:val="clear" w:color="auto" w:fill="FFFFFF"/>
        </w:rPr>
      </w:pPr>
      <w:r w:rsidRPr="00C415E8">
        <w:rPr>
          <w:rFonts w:ascii="Verdana" w:eastAsia="Calibri" w:hAnsi="Verdana" w:cs="Times New Roman"/>
          <w:sz w:val="24"/>
          <w:szCs w:val="24"/>
          <w:shd w:val="clear" w:color="auto" w:fill="FFFFFF"/>
        </w:rPr>
        <w:t xml:space="preserve">в) лекарствени продукти, включени в пакета, гарантиран от бюджета на НЗОК, предназначени за лечение на злокачествени заболявания, </w:t>
      </w:r>
      <w:r w:rsidRPr="00C415E8">
        <w:rPr>
          <w:rFonts w:ascii="Verdana" w:eastAsia="Calibri" w:hAnsi="Verdana" w:cs="Times New Roman"/>
          <w:sz w:val="24"/>
          <w:szCs w:val="24"/>
        </w:rPr>
        <w:t>и лекарствени продукти</w:t>
      </w:r>
      <w:r w:rsidRPr="00C415E8">
        <w:rPr>
          <w:rFonts w:ascii="Verdana" w:eastAsia="Calibri" w:hAnsi="Verdana" w:cs="Times New Roman"/>
          <w:bCs/>
          <w:sz w:val="24"/>
          <w:szCs w:val="24"/>
        </w:rPr>
        <w:t xml:space="preserve"> при животозастрашаващи кръвоизливи и спешни оперативни и инвазивни интервенции при пациенти с вродени коагулопатии,</w:t>
      </w:r>
      <w:r w:rsidRPr="00C415E8">
        <w:rPr>
          <w:rFonts w:ascii="Verdana" w:eastAsia="Calibri" w:hAnsi="Verdana" w:cs="Times New Roman"/>
          <w:sz w:val="24"/>
          <w:szCs w:val="24"/>
          <w:shd w:val="clear" w:color="auto" w:fill="FFFFFF"/>
        </w:rPr>
        <w:t xml:space="preserve"> заплащани в болничната медицинска помощ извън стойността на оказаните медицински услуги (основна група „В“, регламентирана в чл.1, ал.2, ред 1.1.3.5.2. от ЗБНЗОК за 20</w:t>
      </w:r>
      <w:r w:rsidR="009771E4" w:rsidRPr="00C415E8">
        <w:rPr>
          <w:rFonts w:ascii="Verdana" w:eastAsia="Calibri" w:hAnsi="Verdana" w:cs="Times New Roman"/>
          <w:sz w:val="24"/>
          <w:szCs w:val="24"/>
          <w:shd w:val="clear" w:color="auto" w:fill="FFFFFF"/>
        </w:rPr>
        <w:t>2</w:t>
      </w:r>
      <w:r w:rsidR="00F50056">
        <w:rPr>
          <w:rFonts w:ascii="Verdana" w:eastAsia="Calibri" w:hAnsi="Verdana" w:cs="Times New Roman"/>
          <w:sz w:val="24"/>
          <w:szCs w:val="24"/>
          <w:shd w:val="clear" w:color="auto" w:fill="FFFFFF"/>
        </w:rPr>
        <w:t xml:space="preserve">1 </w:t>
      </w:r>
      <w:r w:rsidRPr="00C415E8">
        <w:rPr>
          <w:rFonts w:ascii="Verdana" w:eastAsia="Calibri" w:hAnsi="Verdana" w:cs="Times New Roman"/>
          <w:sz w:val="24"/>
          <w:szCs w:val="24"/>
          <w:shd w:val="clear" w:color="auto" w:fill="FFFFFF"/>
        </w:rPr>
        <w:t>г.).</w:t>
      </w:r>
    </w:p>
    <w:p w:rsidR="00647B9F" w:rsidRPr="00C415E8" w:rsidRDefault="00647B9F" w:rsidP="00F50056">
      <w:pPr>
        <w:pStyle w:val="ListParagraph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Verdana" w:eastAsia="Times New Roman" w:hAnsi="Verdana" w:cs="Times New Roman"/>
          <w:sz w:val="24"/>
          <w:szCs w:val="24"/>
        </w:rPr>
      </w:pPr>
      <w:r w:rsidRPr="00C415E8">
        <w:rPr>
          <w:rFonts w:ascii="Verdana" w:eastAsia="Times New Roman" w:hAnsi="Verdana" w:cs="Times New Roman"/>
          <w:sz w:val="24"/>
          <w:szCs w:val="24"/>
        </w:rPr>
        <w:t>Определяне на годишни бюджети за 202</w:t>
      </w:r>
      <w:r w:rsidR="00F50056">
        <w:rPr>
          <w:rFonts w:ascii="Verdana" w:eastAsia="Times New Roman" w:hAnsi="Verdana" w:cs="Times New Roman"/>
          <w:sz w:val="24"/>
          <w:szCs w:val="24"/>
        </w:rPr>
        <w:t xml:space="preserve">1 </w:t>
      </w:r>
      <w:r w:rsidRPr="00C415E8">
        <w:rPr>
          <w:rFonts w:ascii="Verdana" w:eastAsia="Times New Roman" w:hAnsi="Verdana" w:cs="Times New Roman"/>
          <w:sz w:val="24"/>
          <w:szCs w:val="24"/>
        </w:rPr>
        <w:t>г. по основни групи лекарствени продукти:</w:t>
      </w:r>
    </w:p>
    <w:p w:rsidR="00647B9F" w:rsidRPr="00C415E8" w:rsidRDefault="00647B9F" w:rsidP="00647B9F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</w:rPr>
      </w:pPr>
      <w:r w:rsidRPr="00C415E8">
        <w:rPr>
          <w:rFonts w:ascii="Verdana" w:eastAsia="Times New Roman" w:hAnsi="Verdana" w:cs="Times New Roman"/>
          <w:sz w:val="24"/>
          <w:szCs w:val="24"/>
        </w:rPr>
        <w:t>За целите на прилагане на Механизма, за всяка една основна група лекарствени продукти се определя годишен бюджет за 202</w:t>
      </w:r>
      <w:r w:rsidR="00F50056">
        <w:rPr>
          <w:rFonts w:ascii="Verdana" w:eastAsia="Times New Roman" w:hAnsi="Verdana" w:cs="Times New Roman"/>
          <w:sz w:val="24"/>
          <w:szCs w:val="24"/>
        </w:rPr>
        <w:t xml:space="preserve">1 </w:t>
      </w:r>
      <w:r w:rsidRPr="00C415E8">
        <w:rPr>
          <w:rFonts w:ascii="Verdana" w:eastAsia="Times New Roman" w:hAnsi="Verdana" w:cs="Times New Roman"/>
          <w:sz w:val="24"/>
          <w:szCs w:val="24"/>
        </w:rPr>
        <w:t>г.</w:t>
      </w:r>
    </w:p>
    <w:p w:rsidR="00F50056" w:rsidRDefault="00647B9F" w:rsidP="00647B9F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</w:rPr>
      </w:pPr>
      <w:r w:rsidRPr="00C415E8">
        <w:rPr>
          <w:rFonts w:ascii="Verdana" w:eastAsia="Times New Roman" w:hAnsi="Verdana" w:cs="Times New Roman"/>
          <w:sz w:val="24"/>
          <w:szCs w:val="24"/>
        </w:rPr>
        <w:t>Годишният бюджет за 202</w:t>
      </w:r>
      <w:r w:rsidR="00F50056">
        <w:rPr>
          <w:rFonts w:ascii="Verdana" w:eastAsia="Times New Roman" w:hAnsi="Verdana" w:cs="Times New Roman"/>
          <w:sz w:val="24"/>
          <w:szCs w:val="24"/>
        </w:rPr>
        <w:t xml:space="preserve">1 </w:t>
      </w:r>
      <w:r w:rsidRPr="00C415E8">
        <w:rPr>
          <w:rFonts w:ascii="Verdana" w:eastAsia="Times New Roman" w:hAnsi="Verdana" w:cs="Times New Roman"/>
          <w:sz w:val="24"/>
          <w:szCs w:val="24"/>
        </w:rPr>
        <w:t>г. на всяка една основна група лекарствени продукти се формира като сбор от</w:t>
      </w:r>
      <w:r w:rsidR="00F50056">
        <w:rPr>
          <w:rFonts w:ascii="Verdana" w:eastAsia="Times New Roman" w:hAnsi="Verdana" w:cs="Times New Roman"/>
          <w:sz w:val="24"/>
          <w:szCs w:val="24"/>
        </w:rPr>
        <w:t>:</w:t>
      </w:r>
    </w:p>
    <w:p w:rsidR="00BB129F" w:rsidRDefault="00F50056" w:rsidP="00647B9F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-</w:t>
      </w:r>
      <w:r w:rsidR="00647B9F" w:rsidRPr="00C415E8">
        <w:rPr>
          <w:rFonts w:ascii="Verdana" w:eastAsia="Times New Roman" w:hAnsi="Verdana" w:cs="Times New Roman"/>
          <w:sz w:val="24"/>
          <w:szCs w:val="24"/>
        </w:rPr>
        <w:t xml:space="preserve"> средствата за здравноосигурителни плащания, определени в </w:t>
      </w:r>
      <w:r w:rsidR="00221B61" w:rsidRPr="00C415E8">
        <w:rPr>
          <w:rFonts w:ascii="Verdana" w:eastAsia="Times New Roman" w:hAnsi="Verdana" w:cs="Times New Roman"/>
          <w:sz w:val="24"/>
          <w:szCs w:val="24"/>
        </w:rPr>
        <w:t>ЗБНЗОК за 202</w:t>
      </w:r>
      <w:r>
        <w:rPr>
          <w:rFonts w:ascii="Verdana" w:eastAsia="Times New Roman" w:hAnsi="Verdana" w:cs="Times New Roman"/>
          <w:sz w:val="24"/>
          <w:szCs w:val="24"/>
        </w:rPr>
        <w:t xml:space="preserve">1 </w:t>
      </w:r>
      <w:r w:rsidR="00221B61" w:rsidRPr="00C415E8">
        <w:rPr>
          <w:rFonts w:ascii="Verdana" w:eastAsia="Times New Roman" w:hAnsi="Verdana" w:cs="Times New Roman"/>
          <w:sz w:val="24"/>
          <w:szCs w:val="24"/>
        </w:rPr>
        <w:t xml:space="preserve">г. </w:t>
      </w:r>
      <w:r w:rsidR="00647B9F" w:rsidRPr="00C415E8">
        <w:rPr>
          <w:rFonts w:ascii="Verdana" w:eastAsia="Times New Roman" w:hAnsi="Verdana" w:cs="Times New Roman"/>
          <w:sz w:val="24"/>
          <w:szCs w:val="24"/>
        </w:rPr>
        <w:t>за основната група</w:t>
      </w:r>
      <w:r>
        <w:rPr>
          <w:rFonts w:ascii="Verdana" w:eastAsia="Times New Roman" w:hAnsi="Verdana" w:cs="Times New Roman"/>
          <w:sz w:val="24"/>
          <w:szCs w:val="24"/>
        </w:rPr>
        <w:t>,</w:t>
      </w:r>
      <w:r w:rsidR="00647B9F" w:rsidRPr="00C415E8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F50056" w:rsidRDefault="00647B9F" w:rsidP="00647B9F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</w:rPr>
      </w:pPr>
      <w:r w:rsidRPr="00C415E8">
        <w:rPr>
          <w:rFonts w:ascii="Verdana" w:eastAsia="Times New Roman" w:hAnsi="Verdana" w:cs="Times New Roman"/>
          <w:sz w:val="24"/>
          <w:szCs w:val="24"/>
        </w:rPr>
        <w:t xml:space="preserve">и </w:t>
      </w:r>
    </w:p>
    <w:p w:rsidR="00F50056" w:rsidRDefault="00F50056" w:rsidP="00647B9F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</w:rPr>
      </w:pPr>
      <w:r w:rsidRPr="009712EB">
        <w:rPr>
          <w:rFonts w:ascii="Verdana" w:eastAsia="Times New Roman" w:hAnsi="Verdana" w:cs="Times New Roman"/>
          <w:sz w:val="24"/>
          <w:szCs w:val="24"/>
        </w:rPr>
        <w:t xml:space="preserve">- </w:t>
      </w:r>
      <w:r w:rsidR="00BB129F">
        <w:rPr>
          <w:rFonts w:ascii="Verdana" w:eastAsia="Times New Roman" w:hAnsi="Verdana" w:cs="Times New Roman"/>
          <w:sz w:val="24"/>
          <w:szCs w:val="24"/>
        </w:rPr>
        <w:t xml:space="preserve">определените </w:t>
      </w:r>
      <w:r w:rsidR="00BB129F" w:rsidRPr="009712EB">
        <w:rPr>
          <w:rFonts w:ascii="Verdana" w:eastAsia="Times New Roman" w:hAnsi="Verdana" w:cs="Times New Roman"/>
          <w:sz w:val="24"/>
          <w:szCs w:val="24"/>
        </w:rPr>
        <w:t>в ЗБНЗОК за 2021 г.</w:t>
      </w:r>
      <w:r w:rsidR="00BB129F">
        <w:rPr>
          <w:rFonts w:ascii="Verdana" w:eastAsia="Times New Roman" w:hAnsi="Verdana" w:cs="Times New Roman"/>
          <w:sz w:val="24"/>
          <w:szCs w:val="24"/>
        </w:rPr>
        <w:t xml:space="preserve"> средства от </w:t>
      </w:r>
      <w:r w:rsidR="00647B9F" w:rsidRPr="009712EB">
        <w:rPr>
          <w:rFonts w:ascii="Verdana" w:eastAsia="Times New Roman" w:hAnsi="Verdana" w:cs="Times New Roman"/>
          <w:sz w:val="24"/>
          <w:szCs w:val="24"/>
        </w:rPr>
        <w:t>резерва за непредвидени и неотложни разходи, за тази основна група</w:t>
      </w:r>
      <w:r w:rsidR="00395095" w:rsidRPr="009712EB">
        <w:rPr>
          <w:rFonts w:ascii="Verdana" w:eastAsia="Times New Roman" w:hAnsi="Verdana" w:cs="Times New Roman"/>
          <w:sz w:val="24"/>
          <w:szCs w:val="24"/>
        </w:rPr>
        <w:t>, при решение на надзорния съвет на НЗОК за използването му, взето на основание чл.</w:t>
      </w:r>
      <w:r w:rsidR="00395095" w:rsidRPr="009712EB">
        <w:rPr>
          <w:rFonts w:ascii="Verdana" w:hAnsi="Verdana"/>
        </w:rPr>
        <w:t xml:space="preserve"> чл.15, ал.1, т.</w:t>
      </w:r>
      <w:r w:rsidR="00D510BA" w:rsidRPr="009712EB">
        <w:rPr>
          <w:rFonts w:ascii="Verdana" w:hAnsi="Verdana"/>
        </w:rPr>
        <w:t>7</w:t>
      </w:r>
      <w:r w:rsidR="00395095" w:rsidRPr="009712EB">
        <w:rPr>
          <w:rFonts w:ascii="Verdana" w:hAnsi="Verdana"/>
        </w:rPr>
        <w:t xml:space="preserve"> от ЗЗО</w:t>
      </w:r>
      <w:r w:rsidR="00D510BA" w:rsidRPr="009712EB">
        <w:rPr>
          <w:rFonts w:ascii="Verdana" w:hAnsi="Verdana"/>
        </w:rPr>
        <w:t>.</w:t>
      </w:r>
    </w:p>
    <w:p w:rsidR="00647B9F" w:rsidRDefault="00647B9F" w:rsidP="00647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5E8">
        <w:rPr>
          <w:rFonts w:ascii="Verdana" w:eastAsia="Times New Roman" w:hAnsi="Verdana" w:cs="Times New Roman"/>
          <w:sz w:val="24"/>
          <w:szCs w:val="24"/>
        </w:rPr>
        <w:t xml:space="preserve">От това правило е налице изключение </w:t>
      </w:r>
      <w:r w:rsidR="00221B61" w:rsidRPr="00C415E8">
        <w:rPr>
          <w:rFonts w:ascii="Verdana" w:eastAsia="Times New Roman" w:hAnsi="Verdana" w:cs="Times New Roman"/>
          <w:sz w:val="24"/>
          <w:szCs w:val="24"/>
        </w:rPr>
        <w:t>за</w:t>
      </w:r>
      <w:r w:rsidRPr="00C415E8">
        <w:rPr>
          <w:rFonts w:ascii="Verdana" w:eastAsia="Times New Roman" w:hAnsi="Verdana" w:cs="Times New Roman"/>
          <w:sz w:val="24"/>
          <w:szCs w:val="24"/>
        </w:rPr>
        <w:t xml:space="preserve"> основна група Б,</w:t>
      </w:r>
      <w:r w:rsidR="00221B61" w:rsidRPr="00C415E8">
        <w:rPr>
          <w:rFonts w:ascii="Verdana" w:eastAsia="Times New Roman" w:hAnsi="Verdana" w:cs="Times New Roman"/>
          <w:sz w:val="24"/>
          <w:szCs w:val="24"/>
        </w:rPr>
        <w:t xml:space="preserve"> като от определените в закона средства за основната група се приспадат средствата за медицински изделия в извънболничната медицинска помощ и за диетичните храни за специални медицински цели.</w:t>
      </w:r>
      <w:r w:rsidRPr="00C415E8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6D6788" w:rsidRPr="00C415E8" w:rsidRDefault="009D25AB" w:rsidP="006D6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lastRenderedPageBreak/>
        <w:t xml:space="preserve">В случай, че на основание чл.115, ал.2 от Закона за публичните финанси </w:t>
      </w:r>
      <w:r w:rsidR="006D6788"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(</w:t>
      </w:r>
      <w:r w:rsidR="006D678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ЗПФ</w:t>
      </w:r>
      <w:r w:rsidR="006D6788"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)</w:t>
      </w:r>
      <w:r w:rsidR="006D678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надзорният съвет одобри компенсирани промени между показателите по бюджета на НЗОК за 202</w:t>
      </w:r>
      <w:r w:rsidR="00395095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г. за основните групи лекарствени продукти, </w:t>
      </w:r>
      <w:r w:rsidR="006D6788" w:rsidRPr="00C415E8">
        <w:rPr>
          <w:rFonts w:ascii="Verdana" w:eastAsia="Times New Roman" w:hAnsi="Verdana" w:cs="Times New Roman"/>
          <w:sz w:val="24"/>
          <w:szCs w:val="24"/>
        </w:rPr>
        <w:t>годишният бюджет за 202</w:t>
      </w:r>
      <w:r w:rsidR="00395095">
        <w:rPr>
          <w:rFonts w:ascii="Verdana" w:eastAsia="Times New Roman" w:hAnsi="Verdana" w:cs="Times New Roman"/>
          <w:sz w:val="24"/>
          <w:szCs w:val="24"/>
        </w:rPr>
        <w:t xml:space="preserve">1 </w:t>
      </w:r>
      <w:r w:rsidR="006D6788" w:rsidRPr="00C415E8">
        <w:rPr>
          <w:rFonts w:ascii="Verdana" w:eastAsia="Times New Roman" w:hAnsi="Verdana" w:cs="Times New Roman"/>
          <w:sz w:val="24"/>
          <w:szCs w:val="24"/>
        </w:rPr>
        <w:t>г. на всяка една основна група лекарствени продукти се формира като сбор от средствата за здравноосигурителни плащания, определени за 202</w:t>
      </w:r>
      <w:r w:rsidR="00395095">
        <w:rPr>
          <w:rFonts w:ascii="Verdana" w:eastAsia="Times New Roman" w:hAnsi="Verdana" w:cs="Times New Roman"/>
          <w:sz w:val="24"/>
          <w:szCs w:val="24"/>
        </w:rPr>
        <w:t xml:space="preserve">1 </w:t>
      </w:r>
      <w:r w:rsidR="006D6788" w:rsidRPr="00C415E8">
        <w:rPr>
          <w:rFonts w:ascii="Verdana" w:eastAsia="Times New Roman" w:hAnsi="Verdana" w:cs="Times New Roman"/>
          <w:sz w:val="24"/>
          <w:szCs w:val="24"/>
        </w:rPr>
        <w:t>г. за основната група в резултат на извършените компенсирани промени с решението на надзорния съвет по чл.115, ал.2 от ЗПФ и съответният дял на резерва за непредвидени и неотложни разходи, определен за тази основна група</w:t>
      </w:r>
      <w:r w:rsidR="00395095">
        <w:rPr>
          <w:rFonts w:ascii="Verdana" w:eastAsia="Times New Roman" w:hAnsi="Verdana" w:cs="Times New Roman"/>
          <w:sz w:val="24"/>
          <w:szCs w:val="24"/>
        </w:rPr>
        <w:t xml:space="preserve"> в ЗБНЗОК за 2021г</w:t>
      </w:r>
      <w:r w:rsidR="006D6788" w:rsidRPr="00C415E8">
        <w:rPr>
          <w:rFonts w:ascii="Verdana" w:eastAsia="Times New Roman" w:hAnsi="Verdana" w:cs="Times New Roman"/>
          <w:sz w:val="24"/>
          <w:szCs w:val="24"/>
        </w:rPr>
        <w:t xml:space="preserve">. В този случай се прилага изключението, описано по-горе, за основна група Б. </w:t>
      </w:r>
    </w:p>
    <w:p w:rsidR="00A32515" w:rsidRPr="002F5E23" w:rsidRDefault="002F63F6" w:rsidP="000C359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2F5E23">
        <w:rPr>
          <w:rFonts w:ascii="Verdana" w:eastAsia="Times New Roman" w:hAnsi="Verdana" w:cs="Times New Roman"/>
          <w:sz w:val="24"/>
          <w:szCs w:val="24"/>
        </w:rPr>
        <w:t>Годишните бюджети за 202</w:t>
      </w:r>
      <w:r w:rsidR="00395095" w:rsidRPr="002F5E23">
        <w:rPr>
          <w:rFonts w:ascii="Verdana" w:eastAsia="Times New Roman" w:hAnsi="Verdana" w:cs="Times New Roman"/>
          <w:sz w:val="24"/>
          <w:szCs w:val="24"/>
        </w:rPr>
        <w:t xml:space="preserve">1 </w:t>
      </w:r>
      <w:r w:rsidRPr="002F5E23">
        <w:rPr>
          <w:rFonts w:ascii="Verdana" w:eastAsia="Times New Roman" w:hAnsi="Verdana" w:cs="Times New Roman"/>
          <w:sz w:val="24"/>
          <w:szCs w:val="24"/>
        </w:rPr>
        <w:t xml:space="preserve">г. на всяка една основна група </w:t>
      </w:r>
      <w:r w:rsidRPr="00C77CE9">
        <w:rPr>
          <w:rFonts w:ascii="Verdana" w:eastAsia="Times New Roman" w:hAnsi="Verdana" w:cs="Times New Roman"/>
          <w:sz w:val="24"/>
          <w:szCs w:val="24"/>
        </w:rPr>
        <w:t xml:space="preserve">лекарствени продукти се определят </w:t>
      </w:r>
      <w:r w:rsidR="002A38F9" w:rsidRPr="00C77CE9">
        <w:rPr>
          <w:rFonts w:ascii="Verdana" w:eastAsia="Times New Roman" w:hAnsi="Verdana" w:cs="Times New Roman"/>
          <w:sz w:val="24"/>
          <w:szCs w:val="24"/>
        </w:rPr>
        <w:t>съобразно горепосочените правила</w:t>
      </w:r>
      <w:r w:rsidR="009712EB" w:rsidRPr="00C77CE9">
        <w:rPr>
          <w:rFonts w:ascii="Verdana" w:eastAsia="Times New Roman" w:hAnsi="Verdana" w:cs="Times New Roman"/>
          <w:sz w:val="24"/>
          <w:szCs w:val="24"/>
        </w:rPr>
        <w:t>,</w:t>
      </w:r>
      <w:r w:rsidR="002A38F9" w:rsidRPr="00C77CE9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C77CE9">
        <w:rPr>
          <w:rFonts w:ascii="Verdana" w:eastAsia="Times New Roman" w:hAnsi="Verdana" w:cs="Times New Roman"/>
          <w:sz w:val="24"/>
          <w:szCs w:val="24"/>
        </w:rPr>
        <w:t>с решение</w:t>
      </w:r>
      <w:r w:rsidR="002A38F9" w:rsidRPr="00C77CE9">
        <w:rPr>
          <w:rFonts w:ascii="Verdana" w:eastAsia="Times New Roman" w:hAnsi="Verdana" w:cs="Times New Roman"/>
          <w:sz w:val="24"/>
          <w:szCs w:val="24"/>
        </w:rPr>
        <w:t>то</w:t>
      </w:r>
      <w:r w:rsidRPr="00C77CE9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A38F9" w:rsidRPr="00C77CE9">
        <w:rPr>
          <w:rFonts w:ascii="Verdana" w:eastAsia="Times New Roman" w:hAnsi="Verdana" w:cs="Times New Roman"/>
          <w:sz w:val="24"/>
          <w:szCs w:val="24"/>
        </w:rPr>
        <w:t xml:space="preserve">по чл.15, ал.1, т.7 от ЗЗО </w:t>
      </w:r>
      <w:r w:rsidRPr="00C77CE9">
        <w:rPr>
          <w:rFonts w:ascii="Verdana" w:eastAsia="Times New Roman" w:hAnsi="Verdana" w:cs="Times New Roman"/>
          <w:sz w:val="24"/>
          <w:szCs w:val="24"/>
        </w:rPr>
        <w:t>на надзорния съвет на НЗОК</w:t>
      </w:r>
      <w:r w:rsidR="002A38F9" w:rsidRPr="00C77CE9">
        <w:rPr>
          <w:rFonts w:ascii="Verdana" w:eastAsia="Times New Roman" w:hAnsi="Verdana" w:cs="Times New Roman"/>
          <w:sz w:val="24"/>
          <w:szCs w:val="24"/>
        </w:rPr>
        <w:t xml:space="preserve"> за използване на определения в ЗБНЗОК за 2021г. резерв за всяка основна група лекарствени продукти</w:t>
      </w:r>
      <w:r w:rsidRPr="00C77CE9">
        <w:rPr>
          <w:rFonts w:ascii="Verdana" w:eastAsia="Times New Roman" w:hAnsi="Verdana" w:cs="Times New Roman"/>
          <w:sz w:val="24"/>
          <w:szCs w:val="24"/>
        </w:rPr>
        <w:t>.</w:t>
      </w:r>
    </w:p>
    <w:p w:rsidR="000A2986" w:rsidRPr="00C415E8" w:rsidRDefault="002F63F6" w:rsidP="000C359F">
      <w:pPr>
        <w:pStyle w:val="ListParagraph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Механизмът се прилага за всяка една основна група А, Б и В поотделно</w:t>
      </w:r>
      <w:r w:rsidR="000A2986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. Прилагането се извършва на тримесечие – при надвишаване на условния й бюджет за тримесечието, и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0A2986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на годишна база -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при надвишаване на годишния й бюджет</w:t>
      </w:r>
      <w:r w:rsidR="000A2986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 като до края на първото тримесечие на 202</w:t>
      </w:r>
      <w:r w:rsidR="002F5E23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2 </w:t>
      </w:r>
      <w:r w:rsidR="000A2986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 се извършва годишно изравняване.</w:t>
      </w:r>
    </w:p>
    <w:p w:rsidR="00056623" w:rsidRDefault="00865668" w:rsidP="005B5BDF">
      <w:pPr>
        <w:spacing w:after="0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За </w:t>
      </w:r>
      <w:r w:rsidR="000A2986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прилагането на Механизма</w:t>
      </w:r>
      <w:r w:rsidR="002F63F6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за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всяка основна група и </w:t>
      </w:r>
      <w:r w:rsidR="000C359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включените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в нея лекарствени продукти се извършва в хронологична последователност</w:t>
      </w:r>
      <w:r w:rsidR="00056623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следното:</w:t>
      </w:r>
    </w:p>
    <w:p w:rsidR="00056623" w:rsidRDefault="007A00A0" w:rsidP="00056623">
      <w:pPr>
        <w:spacing w:after="0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3. </w:t>
      </w:r>
      <w:r w:rsidR="00056623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1.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Годишният бюджет на всяка основна група се разделя на четири равни части, като така се формира условен бюджет </w:t>
      </w:r>
      <w:r w:rsidR="00C07D56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за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C07D56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всяко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тримесечие </w:t>
      </w:r>
      <w:r w:rsidR="00C07D56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на 202</w:t>
      </w:r>
      <w:r w:rsidR="002A38F9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="00C07D56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 за основната група;</w:t>
      </w:r>
    </w:p>
    <w:p w:rsidR="00056623" w:rsidRDefault="00C07D56" w:rsidP="00056623">
      <w:pPr>
        <w:spacing w:after="0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3.2.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След </w:t>
      </w:r>
      <w:r w:rsidR="00BA480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изтичане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на всяко тримесечие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на 2021г.</w:t>
      </w:r>
      <w:r w:rsidR="00BA480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НЗОК обобщава данните </w:t>
      </w:r>
      <w:r w:rsidR="00BA480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от интегрираната информационна система на НЗОК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за отпуснатите, респективно приложени и отчетени количества </w:t>
      </w:r>
      <w:r w:rsidR="00BA480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от съответните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лекарствени продукти, включени в основната група, и съответната сума, подлежаща на реимбурсиране от НЗОК, за това тримесечие. От тази сума се приспадат всички договорени и дължими отстъпки</w:t>
      </w:r>
      <w:r w:rsidR="00BA480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BA4800"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(</w:t>
      </w:r>
      <w:r w:rsidR="00BA480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задължителни отстъпки, за които НЗОК е сключила договори 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на основание чл.45, ал.22 от ЗЗО, както и договорени доброволни отстъпки </w:t>
      </w:r>
      <w:r w:rsidR="00BA480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с притежателите на разрешенията за употреба или техни упълномощени представители, при условията и по реда на Наредба №10</w:t>
      </w:r>
      <w:r w:rsidR="00BA4800"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)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br/>
      </w:r>
      <w:r w:rsidR="00A47F3A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      По този начин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се формира нетният разход на НЗОК за съответното тримесечие на </w:t>
      </w:r>
      <w:r w:rsidR="00BA480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202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="00BA480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за основната група. Нетният разход за съответното тримесечие на </w:t>
      </w:r>
      <w:r w:rsidR="00BA480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202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="00BA480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за основната група се </w:t>
      </w:r>
      <w:r w:rsidR="00D36A7B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съпоставя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с нетния разход на НЗОК за същото тримесечие на предходната </w:t>
      </w:r>
      <w:r w:rsidR="00BA480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20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20 </w:t>
      </w:r>
      <w:r w:rsidR="00BA480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="00A50F56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за 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същата</w:t>
      </w:r>
      <w:r w:rsidR="00A50F56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основна група.</w:t>
      </w:r>
      <w:r w:rsidR="003E5C6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91170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За нуждите на</w:t>
      </w:r>
      <w:r w:rsidR="003E5C6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годишното изравняване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</w:t>
      </w:r>
      <w:r w:rsidR="003E5C6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нетният разход за 202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="003E5C6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 за основната група се съпоставя с нетния разход на НЗОК за 20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20 </w:t>
      </w:r>
      <w:r w:rsidR="003E5C6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 за тази основна група.</w:t>
      </w:r>
    </w:p>
    <w:p w:rsidR="00056623" w:rsidRDefault="00D36A7B" w:rsidP="00056623">
      <w:pPr>
        <w:spacing w:after="0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3.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3. Изчислява се дали е налице общо превишение на нетните разходи на НЗОК за даденото тримесечие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на 202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г.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за основната група,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lastRenderedPageBreak/>
        <w:t xml:space="preserve">формирани по реда на т.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3.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2, спрямо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условния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бюдже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т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за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това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тримесечие за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основната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група, определен съгласно т.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3.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1. Наличието на превишение е условие за прилагане на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Механизма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за основната група.</w:t>
      </w:r>
      <w:r w:rsidR="00506BEE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При основна група, при която нетните разходи на НЗОК за тримесечието не </w:t>
      </w:r>
      <w:r w:rsidR="00AC075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пре</w:t>
      </w:r>
      <w:r w:rsidR="00506BEE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вишават условния бюджет за тази група, Механизмът не се задейства за това тримесечие.</w:t>
      </w:r>
    </w:p>
    <w:p w:rsidR="00056623" w:rsidRDefault="003E5C6F" w:rsidP="00056623">
      <w:pPr>
        <w:spacing w:after="0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При годишното изравняване се установява дали е налице общо превишение на нетните разходи на НЗОК за 202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г. за основната група, спрямо годишния бюджет за </w:t>
      </w:r>
      <w:r w:rsidR="0091170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202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="0091170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за </w:t>
      </w:r>
      <w:r w:rsidR="00081DD5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тази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група.</w:t>
      </w:r>
    </w:p>
    <w:p w:rsidR="00056623" w:rsidRDefault="00506BEE" w:rsidP="00056623">
      <w:pPr>
        <w:spacing w:after="0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3.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4. За прилагане на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Механизма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спрямо притежател</w:t>
      </w:r>
      <w:r w:rsidR="00247F2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ите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на разрешение за употреба и респективно за определяне на конкретните им задължения, лекарствените продукти на всеки един притежател на разрешение за употреба, включени в основна група, се разделят условно на две:</w:t>
      </w:r>
    </w:p>
    <w:p w:rsidR="00056623" w:rsidRDefault="00247F20" w:rsidP="00056623">
      <w:pPr>
        <w:spacing w:after="0" w:line="240" w:lineRule="auto"/>
        <w:ind w:firstLine="70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3.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4.1. Подгрупа "Самостоятелни лекарствени продукти" (А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bg-BG"/>
        </w:rPr>
        <w:t>1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 Б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bg-BG"/>
        </w:rPr>
        <w:t>1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 В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bg-BG"/>
        </w:rPr>
        <w:t>1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), в която </w:t>
      </w:r>
      <w:r w:rsidR="00F8355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се включват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всички лекарствени продукти на притежателя на разрешението за употреба, които продукти </w:t>
      </w:r>
      <w:r w:rsidR="00F467C0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в ПЛС са самостоятелни </w:t>
      </w:r>
      <w:r w:rsidR="00F467C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в съответн</w:t>
      </w:r>
      <w:r w:rsidR="003B37A0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ото</w:t>
      </w:r>
      <w:r w:rsidR="00F467C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международн</w:t>
      </w:r>
      <w:r w:rsidR="00F467C0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о</w:t>
      </w:r>
      <w:r w:rsidR="00F467C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непатентн</w:t>
      </w:r>
      <w:r w:rsidR="00F467C0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о</w:t>
      </w:r>
      <w:r w:rsidR="00F467C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наименовани</w:t>
      </w:r>
      <w:r w:rsidR="00F467C0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е</w:t>
      </w:r>
      <w:r w:rsidR="00F467C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(INN)</w:t>
      </w:r>
      <w:r w:rsidR="00BD6CDD" w:rsidRPr="009712E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F467C0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и лекарствена форма </w:t>
      </w:r>
      <w:r w:rsidR="00865668" w:rsidRPr="009712E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(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т.е. при определяне на стойността им, заплащана от НЗОК</w:t>
      </w:r>
      <w:r w:rsidR="00BD6CDD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- референтната стойност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, не участват лекарствени продукти на други притежатели на разрешение за употреба). Подгрупата включва и лекарствените продукти с нови INN, които НЗОК заплаща за първи път през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202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. В рамките на тази подгрупа лекарствените продукти с увеличени разходи</w:t>
      </w:r>
      <w:r w:rsidR="00255D4D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5B5BD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на НЗОК </w:t>
      </w:r>
      <w:r w:rsidR="00255D4D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през тримесечието на 202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="00255D4D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 спрямо същото тримесечие на 20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20 </w:t>
      </w:r>
      <w:r w:rsidR="00255D4D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компенсират тези с намалени разходи до момента, в който </w:t>
      </w:r>
      <w:r w:rsidR="00B7100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се установи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надвишение </w:t>
      </w:r>
      <w:r w:rsidR="00255D4D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по смисъла на т. 3.5.1.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на разходите </w:t>
      </w:r>
      <w:r w:rsidR="00255D4D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на </w:t>
      </w:r>
      <w:r w:rsidR="00B7100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НЗОК</w:t>
      </w:r>
      <w:r w:rsidR="00255D4D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,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за тази подгрупа за тримесечието на </w:t>
      </w:r>
      <w:r w:rsidR="00AC075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202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="00AC075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="00255D4D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спрямо същото тримесечие на 20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20 </w:t>
      </w:r>
      <w:r w:rsidR="00255D4D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5B5BD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Посоченото компенсиране се допуска само и единствено в рамките на подгрупа „Самостоятелни лекарствени продукти“</w:t>
      </w:r>
      <w:r w:rsidR="00D56061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на даден притежател</w:t>
      </w:r>
      <w:r w:rsidR="005B5BD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. Не се допуска компенсиране между увеличение и намаление на разходите на НЗОК за лекарствени продукти на </w:t>
      </w:r>
      <w:r w:rsidR="00D56061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притежателя</w:t>
      </w:r>
      <w:r w:rsidR="005B5BD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, попадащи в </w:t>
      </w:r>
      <w:r w:rsidR="004B589E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различни подгрупи </w:t>
      </w:r>
      <w:r w:rsidR="004B589E"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(</w:t>
      </w:r>
      <w:r w:rsidR="005B5BD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„Самостоятелни лекарствени продукти“ и „Сборни лекарствени п</w:t>
      </w:r>
      <w:r w:rsidR="004B589E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р</w:t>
      </w:r>
      <w:r w:rsidR="005B5BD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одукти“</w:t>
      </w:r>
      <w:r w:rsidR="004B589E"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)</w:t>
      </w:r>
      <w:r w:rsidR="005B5BD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в рамките на основна група, както и </w:t>
      </w:r>
      <w:r w:rsidR="004B589E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попадащи в еднакви или различни подгрупи в</w:t>
      </w:r>
      <w:r w:rsidR="005B5BD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ра</w:t>
      </w:r>
      <w:r w:rsidR="002C1432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мките на различни основни групи с изключение на случите по точка 3.6.1</w:t>
      </w:r>
    </w:p>
    <w:p w:rsidR="009712EB" w:rsidRDefault="00AC075F" w:rsidP="00056623">
      <w:pPr>
        <w:pStyle w:val="ListParagraph"/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3.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4.2. Подгрупа "Сборни лекарствени продукти" (А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bg-BG"/>
        </w:rPr>
        <w:t>2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 Б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bg-BG"/>
        </w:rPr>
        <w:t>2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 В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bg-BG"/>
        </w:rPr>
        <w:t>2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), която се формира от</w:t>
      </w:r>
      <w:r w:rsidR="009712E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:</w:t>
      </w:r>
    </w:p>
    <w:p w:rsidR="00C77CE9" w:rsidRDefault="00C77CE9" w:rsidP="00056623">
      <w:pPr>
        <w:pStyle w:val="ListParagraph"/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а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)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лекарствени</w:t>
      </w:r>
      <w:r w:rsidR="00F467C0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те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продукти на </w:t>
      </w:r>
      <w:r w:rsidR="00F467C0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притежателя на разрешението за употреба, които продукти в ПЛС не са самостоятелни в съответн</w:t>
      </w:r>
      <w:r w:rsidR="003B37A0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ото</w:t>
      </w:r>
      <w:r w:rsidR="00F467C0" w:rsidRPr="00F467C0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F467C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международн</w:t>
      </w:r>
      <w:r w:rsidR="00F467C0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о</w:t>
      </w:r>
      <w:r w:rsidR="00F467C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непатентн</w:t>
      </w:r>
      <w:r w:rsidR="00F467C0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о</w:t>
      </w:r>
      <w:r w:rsidR="00F467C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наименовани</w:t>
      </w:r>
      <w:r w:rsidR="00F467C0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е</w:t>
      </w:r>
      <w:r w:rsidR="00F467C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(INN)</w:t>
      </w:r>
      <w:r w:rsidR="00F467C0" w:rsidRPr="009712E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F467C0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и лекарствена форма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</w:t>
      </w:r>
      <w:r w:rsidR="009712EB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т.е. при определяне на стойността им, заплащана от НЗОК, участват лекарствени продукти и на други притежатели на разрешение з</w:t>
      </w:r>
      <w:r w:rsidR="000E50B5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а употреба;</w:t>
      </w:r>
    </w:p>
    <w:p w:rsidR="000E50B5" w:rsidRDefault="00C77CE9" w:rsidP="000E50B5">
      <w:pPr>
        <w:pStyle w:val="ListParagraph"/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б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)</w:t>
      </w:r>
      <w:r w:rsidR="009712E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0E50B5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лекарствени</w:t>
      </w:r>
      <w:r w:rsidR="000E50B5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те</w:t>
      </w:r>
      <w:r w:rsidR="000E50B5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продукти на </w:t>
      </w:r>
      <w:r w:rsidR="000E50B5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притежателя на разрешението за употреба, които продукти в ПЛС са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групирани в една </w:t>
      </w:r>
      <w:r w:rsidR="00537AA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и съща </w:t>
      </w:r>
      <w:r w:rsidRPr="00C77CE9">
        <w:rPr>
          <w:rFonts w:ascii="Verdana" w:hAnsi="Verdana"/>
          <w:sz w:val="24"/>
          <w:szCs w:val="24"/>
        </w:rPr>
        <w:t>хими</w:t>
      </w:r>
      <w:r>
        <w:rPr>
          <w:rFonts w:ascii="Verdana" w:hAnsi="Verdana"/>
          <w:sz w:val="24"/>
          <w:szCs w:val="24"/>
        </w:rPr>
        <w:t>ко-терапевтична</w:t>
      </w:r>
      <w:r w:rsidRPr="00C77CE9">
        <w:rPr>
          <w:rFonts w:ascii="Verdana" w:hAnsi="Verdana"/>
          <w:sz w:val="24"/>
          <w:szCs w:val="24"/>
        </w:rPr>
        <w:t xml:space="preserve"> подгрупа на АТС класификацията</w:t>
      </w:r>
      <w:r w:rsidR="000E50B5">
        <w:rPr>
          <w:rFonts w:ascii="Verdana" w:hAnsi="Verdana"/>
          <w:sz w:val="24"/>
          <w:szCs w:val="24"/>
        </w:rPr>
        <w:t xml:space="preserve"> </w:t>
      </w:r>
      <w:r w:rsidR="000E50B5">
        <w:rPr>
          <w:rFonts w:ascii="Verdana" w:hAnsi="Verdana"/>
          <w:sz w:val="24"/>
          <w:szCs w:val="24"/>
          <w:lang w:val="en-US"/>
        </w:rPr>
        <w:t>(</w:t>
      </w:r>
      <w:r w:rsidR="000E50B5">
        <w:rPr>
          <w:rFonts w:ascii="Verdana" w:hAnsi="Verdana"/>
          <w:sz w:val="24"/>
          <w:szCs w:val="24"/>
        </w:rPr>
        <w:t>но</w:t>
      </w:r>
      <w:r w:rsidR="000E50B5" w:rsidRPr="000E50B5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0E50B5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принадлежат към </w:t>
      </w:r>
      <w:r w:rsidR="000E50B5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lastRenderedPageBreak/>
        <w:t>различни международни непатентни наименования</w:t>
      </w:r>
      <w:r w:rsidR="000E50B5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)</w:t>
      </w:r>
      <w:r w:rsidR="000E50B5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 т.е.</w:t>
      </w:r>
      <w:r w:rsidR="000E50B5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при определяне на стойността им, заплащана от НЗОК, участват лекарствени продукти и на други притежатели на разрешение з</w:t>
      </w:r>
      <w:r w:rsidR="000E50B5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а употреба</w:t>
      </w:r>
      <w:r w:rsidR="000E50B5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)</w:t>
      </w:r>
      <w:r w:rsidR="003B37A0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.</w:t>
      </w:r>
    </w:p>
    <w:p w:rsidR="000E50B5" w:rsidRPr="00C77CE9" w:rsidRDefault="000E50B5" w:rsidP="00056623">
      <w:pPr>
        <w:pStyle w:val="ListParagraph"/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</w:p>
    <w:p w:rsidR="00056623" w:rsidRDefault="00825B52" w:rsidP="009712EB">
      <w:pPr>
        <w:pStyle w:val="ListParagraph"/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Несамостоятелните лекарствени продукти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на всеки притежател на разрешение за употреба и съответните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им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разходи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 при прилагане на настоящия механизъм</w:t>
      </w:r>
      <w:r w:rsidR="00607E1A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се разглеждат в съответните INN, към които принадлежат</w:t>
      </w:r>
      <w:r w:rsidR="00C77CE9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 или в съответните химико-терапевтични подгрупи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.</w:t>
      </w:r>
    </w:p>
    <w:p w:rsidR="009712EB" w:rsidRDefault="009712EB" w:rsidP="00056623">
      <w:pPr>
        <w:pStyle w:val="ListParagraph"/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color w:val="FF0000"/>
          <w:sz w:val="24"/>
          <w:szCs w:val="24"/>
          <w:lang w:eastAsia="bg-BG"/>
        </w:rPr>
      </w:pPr>
    </w:p>
    <w:p w:rsidR="00056623" w:rsidRDefault="00C415E8" w:rsidP="00056623">
      <w:pPr>
        <w:pStyle w:val="ListParagraph"/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3</w:t>
      </w:r>
      <w:r w:rsidR="00AC075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5. При установено от НЗОК превишение на </w:t>
      </w:r>
      <w:r w:rsidR="00AC075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условния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бюджет за тримесечието </w:t>
      </w:r>
      <w:r w:rsidR="00AC075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на 202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="00AC075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г.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на основна група </w:t>
      </w:r>
      <w:r w:rsidR="0013456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лекарствени продукти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(А, Б или В)</w:t>
      </w:r>
      <w:r w:rsidR="00EA2AB4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НЗОК</w:t>
      </w:r>
      <w:r w:rsidR="008E502C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 xml:space="preserve"> </w:t>
      </w:r>
      <w:r w:rsidR="008E502C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изследва и анализира следното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:</w:t>
      </w:r>
    </w:p>
    <w:p w:rsidR="008E502C" w:rsidRPr="008E502C" w:rsidRDefault="008E502C" w:rsidP="00056623">
      <w:pPr>
        <w:pStyle w:val="ListParagraph"/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</w:pPr>
    </w:p>
    <w:p w:rsidR="00134567" w:rsidRDefault="00AC075F" w:rsidP="00056623">
      <w:pPr>
        <w:pStyle w:val="ListParagraph"/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547AF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3.</w:t>
      </w:r>
      <w:r w:rsidR="00865668" w:rsidRPr="00547AF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5.1. </w:t>
      </w:r>
      <w:r w:rsidR="00134567" w:rsidRPr="00547AF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Относно подгрупите "Самостоятелни лекарствени продукти" на притежателите на разрешение за употреба, в рамките на основната група лекарствени продукти:</w:t>
      </w:r>
    </w:p>
    <w:p w:rsidR="00D56061" w:rsidRPr="00C415E8" w:rsidRDefault="00865668" w:rsidP="00056623">
      <w:pPr>
        <w:pStyle w:val="ListParagraph"/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Установява всеки притежател на разрешение за употреба със съответната му подгрупа "Самостоятелни лекарствени продукти" по т. </w:t>
      </w:r>
      <w:r w:rsidR="00AC075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3.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4.1, при която </w:t>
      </w:r>
      <w:r w:rsidR="00D56061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е налице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надвишение на разходите за </w:t>
      </w:r>
      <w:r w:rsidR="00D56061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тримесечието на 202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="00D56061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.</w:t>
      </w:r>
      <w:r w:rsidR="00D56061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</w:p>
    <w:p w:rsidR="007C385E" w:rsidRPr="00C415E8" w:rsidRDefault="00865668" w:rsidP="003B37A0">
      <w:pPr>
        <w:pStyle w:val="ListParagraph"/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proofErr w:type="spellStart"/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Надвишение</w:t>
      </w:r>
      <w:proofErr w:type="spellEnd"/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на разходите </w:t>
      </w:r>
      <w:r w:rsidR="001D1782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на НЗОК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за подгрупа "Самостоятелни лекарствени продукти" на даден притежател на разрешение за употреба е налице, когато сумата от нетните разходи на НЗОК за лекарствените му продукти от тази подгрупа за тримесечието на </w:t>
      </w:r>
      <w:r w:rsidR="00D56061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202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="00D56061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D56061"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(</w:t>
      </w:r>
      <w:r w:rsidR="00D56061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т.е. разходите на НЗОК, получени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след приспадане на всички договорени </w:t>
      </w:r>
      <w:r w:rsidR="003B37A0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– задължителни и/или доброволни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и дължими отстъпки</w:t>
      </w:r>
      <w:r w:rsidR="00D56061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за лекарствените му продукти от тази подгрупа</w:t>
      </w:r>
      <w:r w:rsidR="00D56061"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)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надвишава нетните разходи на НЗОК за </w:t>
      </w:r>
      <w:r w:rsidR="00866DF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аналогичното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тримесечие на </w:t>
      </w:r>
      <w:r w:rsidR="003F05CB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20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20 </w:t>
      </w:r>
      <w:r w:rsidR="003F05CB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 за лекарствените му продукти</w:t>
      </w:r>
      <w:r w:rsidR="00866DF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от </w:t>
      </w:r>
      <w:r w:rsidR="007C385E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същия вид</w:t>
      </w:r>
      <w:r w:rsidR="00866DF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група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7C385E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"Самостоятелни лекарствени продукти" (независимо дали е налице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или не идентичност на лекарствените продукти на притежателя на разрешение за употреба</w:t>
      </w:r>
      <w:r w:rsidR="007C385E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от двете аналогични групи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през сравняваните периоди –</w:t>
      </w:r>
      <w:r w:rsidR="007C385E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тримесечието на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7C385E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202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="007C385E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и </w:t>
      </w:r>
      <w:r w:rsidR="001D1782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съответното му тримесечие на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предходната </w:t>
      </w:r>
      <w:r w:rsidR="007C385E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20</w:t>
      </w:r>
      <w:r w:rsidR="00FA5733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20 </w:t>
      </w:r>
      <w:r w:rsidR="007C385E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.</w:t>
      </w:r>
      <w:r w:rsidR="00FA5733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)</w:t>
      </w:r>
      <w:r w:rsidR="00FA5733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.</w:t>
      </w:r>
      <w:r w:rsidR="007C385E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3A1F4A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На годишна база </w:t>
      </w:r>
      <w:r w:rsidR="003A1F4A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(</w:t>
      </w:r>
      <w:r w:rsidR="003A1F4A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и з</w:t>
      </w:r>
      <w:r w:rsidR="00081DD5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а нуждите на</w:t>
      </w:r>
      <w:r w:rsidR="006B770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годишното изравняване</w:t>
      </w:r>
      <w:r w:rsidR="003A1F4A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)</w:t>
      </w:r>
      <w:r w:rsidR="003A1F4A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</w:t>
      </w:r>
      <w:r w:rsidR="006B770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надвишение на разходите на НЗОК за подгрупа "Самостоятелни лекарствени продукти" на даден притежател на разрешение за употреба е налице, когато сумата от нетните разходи на НЗОК за лекарствените му продукти от тази подгрупа за 202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="006B770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 надвишава нетните разходи на НЗОК за 20</w:t>
      </w:r>
      <w:r w:rsidR="008F492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20 </w:t>
      </w:r>
      <w:r w:rsidR="006B770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 за лекарствените му продукти от същия вид група "Самостоятелни лекарствени продукти"</w:t>
      </w:r>
      <w:r w:rsidR="003A1F4A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.</w:t>
      </w:r>
    </w:p>
    <w:p w:rsidR="001D1782" w:rsidRPr="00C415E8" w:rsidRDefault="00622F4F" w:rsidP="001D1782">
      <w:pPr>
        <w:pStyle w:val="ListParagraph"/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При</w:t>
      </w:r>
      <w:r w:rsidR="001D1782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извършване на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анализ и установяване наличието или липсата на надвишение </w:t>
      </w:r>
      <w:r w:rsidR="001D1782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на разходите на НЗОК за подгрупа "Самостоятелни лекарствени продукти" на даден притежател, </w:t>
      </w:r>
      <w:r w:rsidR="00DF2C49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се прилагат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следн</w:t>
      </w:r>
      <w:r w:rsidR="001D1782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ите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правил</w:t>
      </w:r>
      <w:r w:rsidR="001D1782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а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:</w:t>
      </w:r>
    </w:p>
    <w:p w:rsidR="00C415E8" w:rsidRDefault="001D1782" w:rsidP="00C415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а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 xml:space="preserve">)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за лекарствен продукт с нов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INN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 ко</w:t>
      </w:r>
      <w:r w:rsidR="00622F4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й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то НЗОК заплаща за първи път през 202</w:t>
      </w:r>
      <w:r w:rsidR="00F8355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="00622F4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, за нуждите на сравняването на разходите през </w:t>
      </w:r>
      <w:r w:rsidR="00911A3B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съответно </w:t>
      </w:r>
      <w:r w:rsidR="00622F4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тримесечие на </w:t>
      </w:r>
      <w:r w:rsidR="00911A3B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202</w:t>
      </w:r>
      <w:r w:rsidR="00F8355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="00911A3B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="00622F4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и </w:t>
      </w:r>
      <w:r w:rsidR="00911A3B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20</w:t>
      </w:r>
      <w:r w:rsidR="00F8355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20 </w:t>
      </w:r>
      <w:r w:rsidR="00911A3B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="00622F4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година</w:t>
      </w:r>
      <w:r w:rsidR="00911A3B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, респ. </w:t>
      </w:r>
      <w:r w:rsidR="008A72A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на </w:t>
      </w:r>
      <w:r w:rsidR="00911A3B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разходите</w:t>
      </w:r>
      <w:r w:rsidR="00622F4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911A3B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за цялата 202</w:t>
      </w:r>
      <w:r w:rsidR="00F8355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="00911A3B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 спрямо цялата 20</w:t>
      </w:r>
      <w:r w:rsidR="00F8355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20 </w:t>
      </w:r>
      <w:r w:rsidR="00911A3B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г. се </w:t>
      </w:r>
      <w:r w:rsidR="00622F4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приема, че разходите на НЗОК </w:t>
      </w:r>
      <w:r w:rsidR="00622F4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lastRenderedPageBreak/>
        <w:t xml:space="preserve">за този продукт за </w:t>
      </w:r>
      <w:r w:rsidR="00911A3B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съответното </w:t>
      </w:r>
      <w:r w:rsidR="00622F4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тримесечие на 20</w:t>
      </w:r>
      <w:r w:rsidR="00F8355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20 </w:t>
      </w:r>
      <w:r w:rsidR="00622F4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</w:t>
      </w:r>
      <w:r w:rsidR="00911A3B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 респ. за цялата 20</w:t>
      </w:r>
      <w:r w:rsidR="00F8355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20 </w:t>
      </w:r>
      <w:r w:rsidR="00911A3B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="008A72A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</w:t>
      </w:r>
      <w:r w:rsidR="00622F4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са равни на нула; изключение от това пр</w:t>
      </w:r>
      <w:r w:rsid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авило е установено в буква „б“;</w:t>
      </w:r>
    </w:p>
    <w:p w:rsidR="00DF2C49" w:rsidRPr="00C415E8" w:rsidRDefault="001D1782" w:rsidP="00C415E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hAnsi="Verdana"/>
          <w:color w:val="000000"/>
          <w:sz w:val="24"/>
          <w:szCs w:val="24"/>
        </w:rPr>
        <w:t>б</w:t>
      </w:r>
      <w:r w:rsidRPr="00C415E8">
        <w:rPr>
          <w:rFonts w:ascii="Verdana" w:hAnsi="Verdana"/>
          <w:color w:val="000000"/>
          <w:sz w:val="24"/>
          <w:szCs w:val="24"/>
          <w:lang w:val="en-US"/>
        </w:rPr>
        <w:t>)</w:t>
      </w:r>
      <w:r w:rsidR="00193B84" w:rsidRPr="00C415E8">
        <w:rPr>
          <w:rFonts w:ascii="Verdana" w:hAnsi="Verdana"/>
          <w:color w:val="000000"/>
          <w:sz w:val="24"/>
          <w:szCs w:val="24"/>
        </w:rPr>
        <w:t xml:space="preserve"> </w:t>
      </w:r>
      <w:r w:rsidR="00DF2C49" w:rsidRPr="00C415E8">
        <w:rPr>
          <w:rFonts w:ascii="Verdana" w:hAnsi="Verdana"/>
          <w:color w:val="000000"/>
          <w:sz w:val="24"/>
          <w:szCs w:val="24"/>
        </w:rPr>
        <w:t xml:space="preserve">в случай, че лекарствен продукт с нов </w:t>
      </w:r>
      <w:r w:rsidR="00DF2C49" w:rsidRPr="00C415E8">
        <w:rPr>
          <w:rFonts w:ascii="Verdana" w:hAnsi="Verdana"/>
          <w:color w:val="000000"/>
          <w:sz w:val="24"/>
          <w:szCs w:val="24"/>
          <w:lang w:val="en-US"/>
        </w:rPr>
        <w:t>INN</w:t>
      </w:r>
      <w:r w:rsidR="00DF2C49" w:rsidRPr="00C415E8">
        <w:rPr>
          <w:rFonts w:ascii="Verdana" w:hAnsi="Verdana"/>
          <w:color w:val="000000"/>
          <w:sz w:val="24"/>
          <w:szCs w:val="24"/>
        </w:rPr>
        <w:t>, заплащан със средства от бюджета на НЗОК за първи път през 202</w:t>
      </w:r>
      <w:r w:rsidR="00F83556">
        <w:rPr>
          <w:rFonts w:ascii="Verdana" w:hAnsi="Verdana"/>
          <w:color w:val="000000"/>
          <w:sz w:val="24"/>
          <w:szCs w:val="24"/>
        </w:rPr>
        <w:t xml:space="preserve">1 </w:t>
      </w:r>
      <w:r w:rsidR="00DF2C49" w:rsidRPr="00C415E8">
        <w:rPr>
          <w:rFonts w:ascii="Verdana" w:hAnsi="Verdana"/>
          <w:color w:val="000000"/>
          <w:sz w:val="24"/>
          <w:szCs w:val="24"/>
        </w:rPr>
        <w:t>г., през 20</w:t>
      </w:r>
      <w:r w:rsidR="00F83556">
        <w:rPr>
          <w:rFonts w:ascii="Verdana" w:hAnsi="Verdana"/>
          <w:color w:val="000000"/>
          <w:sz w:val="24"/>
          <w:szCs w:val="24"/>
        </w:rPr>
        <w:t xml:space="preserve">20 </w:t>
      </w:r>
      <w:r w:rsidR="00DF2C49" w:rsidRPr="00C415E8">
        <w:rPr>
          <w:rFonts w:ascii="Verdana" w:hAnsi="Verdana"/>
          <w:color w:val="000000"/>
          <w:sz w:val="24"/>
          <w:szCs w:val="24"/>
        </w:rPr>
        <w:t xml:space="preserve">г. е бил заплащан с публични средства по реда на </w:t>
      </w:r>
      <w:r w:rsidR="00DF2C49" w:rsidRPr="00C415E8">
        <w:rPr>
          <w:rFonts w:ascii="Verdana" w:hAnsi="Verdana"/>
          <w:i/>
          <w:color w:val="000000"/>
          <w:sz w:val="24"/>
          <w:szCs w:val="24"/>
        </w:rPr>
        <w:t>НАРЕДБА № 2 от 27.03.2019 г. за медицинските и други услуги по чл. 82, ал. 1а и 3 от Закона за здравето и за реда и условията за тяхното одобряване, ползване и заплащане</w:t>
      </w:r>
      <w:r w:rsidR="00DF2C49" w:rsidRPr="00C415E8">
        <w:rPr>
          <w:rFonts w:ascii="Verdana" w:hAnsi="Verdana"/>
          <w:sz w:val="24"/>
          <w:szCs w:val="24"/>
        </w:rPr>
        <w:t>, заплатените през 20</w:t>
      </w:r>
      <w:r w:rsidR="00F83556">
        <w:rPr>
          <w:rFonts w:ascii="Verdana" w:hAnsi="Verdana"/>
          <w:sz w:val="24"/>
          <w:szCs w:val="24"/>
        </w:rPr>
        <w:t xml:space="preserve">20 </w:t>
      </w:r>
      <w:r w:rsidR="00DF2C49" w:rsidRPr="00C415E8">
        <w:rPr>
          <w:rFonts w:ascii="Verdana" w:hAnsi="Verdana"/>
          <w:sz w:val="24"/>
          <w:szCs w:val="24"/>
        </w:rPr>
        <w:t xml:space="preserve">г. за </w:t>
      </w:r>
      <w:r w:rsidR="000737AC" w:rsidRPr="00C415E8">
        <w:rPr>
          <w:rFonts w:ascii="Verdana" w:hAnsi="Verdana"/>
          <w:sz w:val="24"/>
          <w:szCs w:val="24"/>
        </w:rPr>
        <w:t>лекарствения продукт</w:t>
      </w:r>
      <w:r w:rsidR="00DF2C49" w:rsidRPr="00C415E8">
        <w:rPr>
          <w:rFonts w:ascii="Verdana" w:hAnsi="Verdana"/>
          <w:sz w:val="24"/>
          <w:szCs w:val="24"/>
        </w:rPr>
        <w:t xml:space="preserve"> публични средства се вземат предвид и се считат </w:t>
      </w:r>
      <w:r w:rsidR="00BB7BCE" w:rsidRPr="00C415E8">
        <w:rPr>
          <w:rFonts w:ascii="Verdana" w:hAnsi="Verdana"/>
          <w:sz w:val="24"/>
          <w:szCs w:val="24"/>
        </w:rPr>
        <w:t>за</w:t>
      </w:r>
      <w:r w:rsidR="00DF2C49" w:rsidRPr="00C415E8">
        <w:rPr>
          <w:rFonts w:ascii="Verdana" w:hAnsi="Verdana"/>
          <w:sz w:val="24"/>
          <w:szCs w:val="24"/>
        </w:rPr>
        <w:t xml:space="preserve"> </w:t>
      </w:r>
      <w:r w:rsidR="00BB7BCE" w:rsidRPr="00C415E8">
        <w:rPr>
          <w:rFonts w:ascii="Verdana" w:hAnsi="Verdana"/>
          <w:sz w:val="24"/>
          <w:szCs w:val="24"/>
        </w:rPr>
        <w:t>разходи на</w:t>
      </w:r>
      <w:r w:rsidR="00DF2C49" w:rsidRPr="00C415E8">
        <w:rPr>
          <w:rFonts w:ascii="Verdana" w:hAnsi="Verdana"/>
          <w:sz w:val="24"/>
          <w:szCs w:val="24"/>
        </w:rPr>
        <w:t xml:space="preserve"> НЗОК за 20</w:t>
      </w:r>
      <w:r w:rsidR="00F83556">
        <w:rPr>
          <w:rFonts w:ascii="Verdana" w:hAnsi="Verdana"/>
          <w:sz w:val="24"/>
          <w:szCs w:val="24"/>
        </w:rPr>
        <w:t xml:space="preserve">20 </w:t>
      </w:r>
      <w:r w:rsidR="00DF2C49" w:rsidRPr="00C415E8">
        <w:rPr>
          <w:rFonts w:ascii="Verdana" w:hAnsi="Verdana"/>
          <w:sz w:val="24"/>
          <w:szCs w:val="24"/>
        </w:rPr>
        <w:t>г. при сравняване на разходите за относимите периоди.</w:t>
      </w:r>
    </w:p>
    <w:p w:rsidR="003B37A0" w:rsidRPr="003B37A0" w:rsidRDefault="001D1782" w:rsidP="003B37A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в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 xml:space="preserve">)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когато НЗОК е започнала да заплаща даден лекарствен продукт (самостоятелен в съответното INN) </w:t>
      </w:r>
      <w:r w:rsidR="00BB7BCE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през </w:t>
      </w:r>
      <w:r w:rsidR="00BB7BCE"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II</w:t>
      </w:r>
      <w:r w:rsidR="00BB7BCE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-ро,</w:t>
      </w:r>
      <w:r w:rsidR="00BB7BCE"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 xml:space="preserve">  III</w:t>
      </w:r>
      <w:r w:rsidR="00BB7BCE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-то или</w:t>
      </w:r>
      <w:r w:rsidR="00BB7BCE"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 xml:space="preserve"> IV</w:t>
      </w:r>
      <w:r w:rsidR="00BB7BCE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-то тримесечие на 20</w:t>
      </w:r>
      <w:r w:rsidR="00F8355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20 </w:t>
      </w:r>
      <w:r w:rsidR="00BB7BCE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, </w:t>
      </w:r>
      <w:r w:rsidR="00BC3552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сравняването на разходите на НЗОК </w:t>
      </w:r>
      <w:r w:rsidR="00093C2D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при прилагане на Механизма </w:t>
      </w:r>
      <w:r w:rsidR="00BC3552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започва съответно от</w:t>
      </w:r>
      <w:r w:rsidR="00BC3552"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 xml:space="preserve"> II</w:t>
      </w:r>
      <w:r w:rsidR="00BC3552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-ро,</w:t>
      </w:r>
      <w:r w:rsidR="00BC3552"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 xml:space="preserve">  III</w:t>
      </w:r>
      <w:r w:rsidR="00BC3552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-то или</w:t>
      </w:r>
      <w:r w:rsidR="00BC3552"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 xml:space="preserve"> </w:t>
      </w:r>
      <w:r w:rsidR="00BC3552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от </w:t>
      </w:r>
      <w:r w:rsidR="00BC3552"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IV</w:t>
      </w:r>
      <w:r w:rsidR="00BC3552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-то тримесечие на 202</w:t>
      </w:r>
      <w:r w:rsidR="00F8355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="00BC3552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="00093C2D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</w:t>
      </w:r>
      <w:r w:rsidR="00BC3552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а годишна база се извършва изравняване, </w:t>
      </w:r>
      <w:r w:rsidR="00093C2D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за нуждите на което се</w:t>
      </w:r>
      <w:r w:rsidR="00BC3552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сравняват нетните разходи на НЗОК за този продукт за цялата 202</w:t>
      </w:r>
      <w:r w:rsidR="00F8355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1</w:t>
      </w:r>
      <w:r w:rsidR="00BC3552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 спрямо нетните разходи на НЗОК за продукта за цялата 20</w:t>
      </w:r>
      <w:r w:rsidR="00F8355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20 </w:t>
      </w:r>
      <w:r w:rsidR="00BC3552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</w:p>
    <w:p w:rsidR="00547848" w:rsidRPr="00C415E8" w:rsidRDefault="00865668" w:rsidP="00093C2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При установено </w:t>
      </w:r>
      <w:proofErr w:type="spellStart"/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надвишение</w:t>
      </w:r>
      <w:proofErr w:type="spellEnd"/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7D7A7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на разходите на НЗОК за подгрупа "Самостоятелни лекарствени продукти" на даден</w:t>
      </w:r>
      <w:r w:rsidR="007D7A70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ия</w:t>
      </w:r>
      <w:r w:rsidR="007D7A7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притежател на разрешение за употреба</w:t>
      </w:r>
      <w:r w:rsidR="007D7A70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 той или негов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упълномощен представител възстановява чрез директно плащане на НЗОК сумата, пропорционална на участието му в нетния преразход на </w:t>
      </w:r>
      <w:r w:rsidR="0054784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условния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бюджет за съответното тримесечие на разглежда</w:t>
      </w:r>
      <w:r w:rsidR="0054784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ната основна група (А, Б или В)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.</w:t>
      </w:r>
      <w:r w:rsidR="0054784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</w:p>
    <w:p w:rsidR="008E502C" w:rsidRDefault="008E502C" w:rsidP="001D178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</w:pPr>
    </w:p>
    <w:p w:rsidR="00134567" w:rsidRDefault="00547848" w:rsidP="001D178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547AF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3.</w:t>
      </w:r>
      <w:r w:rsidR="00865668" w:rsidRPr="00547AF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5.2. </w:t>
      </w:r>
      <w:r w:rsidR="00134567" w:rsidRPr="00547AF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Относно подгрупите "Сборни лекарствени продукти" на притежателите на разрешение за употреба, в рамките на основната група лекарствени продукти:</w:t>
      </w:r>
    </w:p>
    <w:p w:rsidR="0091170A" w:rsidRDefault="003E01D6" w:rsidP="001D178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Установява</w:t>
      </w:r>
      <w:r w:rsidR="00CA4B02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международните непатентни наименования (INN), </w:t>
      </w:r>
      <w:r w:rsidR="00FB0586" w:rsidRPr="00C77CE9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към които принадлежат</w:t>
      </w:r>
      <w:r w:rsidR="00FB058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лекарствени продукти на различни притежатели на разрешение за употреба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и при които </w:t>
      </w:r>
      <w:r w:rsidR="00CF185C"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INN</w:t>
      </w:r>
      <w:r w:rsidR="00CF185C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е налице </w:t>
      </w:r>
      <w:proofErr w:type="spellStart"/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надвишение</w:t>
      </w:r>
      <w:proofErr w:type="spellEnd"/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на разходите на НЗОК за дадено тримесечие на </w:t>
      </w:r>
      <w:r w:rsidR="00CF185C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202</w:t>
      </w:r>
      <w:r w:rsidR="00F8355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="00CF185C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.</w:t>
      </w:r>
    </w:p>
    <w:p w:rsidR="008E502C" w:rsidRDefault="00865668" w:rsidP="0091170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proofErr w:type="spellStart"/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Надвишение</w:t>
      </w:r>
      <w:proofErr w:type="spellEnd"/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на разходите за дадено INN е налице, когато сумата от нетните разходи на НЗОК за лекарствените продукти в това INN за тримесечието на </w:t>
      </w:r>
      <w:r w:rsidR="00BE18AD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202</w:t>
      </w:r>
      <w:r w:rsidR="00F8355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="00BE18AD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надвишава сумата на нетните разходи на НЗОК за същото INN, за </w:t>
      </w:r>
      <w:r w:rsidR="00CF185C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аналогичното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тримесечие на </w:t>
      </w:r>
      <w:r w:rsidR="00CF185C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20</w:t>
      </w:r>
      <w:r w:rsidR="00F8355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20 </w:t>
      </w:r>
      <w:r w:rsidR="00CF185C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(независимо дали е налице, или не идентичност на лекарствените продукти в това INN през сравняваните периоди </w:t>
      </w:r>
      <w:r w:rsidR="00CF185C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от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текущата и предходната година).</w:t>
      </w:r>
      <w:r w:rsidR="0091170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</w:p>
    <w:p w:rsidR="00CF185C" w:rsidRDefault="00865668" w:rsidP="0091170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При наличие на надвишение в дадено INN</w:t>
      </w:r>
      <w:r w:rsidR="008E502C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се установяват </w:t>
      </w:r>
      <w:r w:rsidR="008E502C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лекарствените продукти,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формирали това </w:t>
      </w:r>
      <w:proofErr w:type="spellStart"/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надвишение</w:t>
      </w:r>
      <w:proofErr w:type="spellEnd"/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. </w:t>
      </w:r>
      <w:r w:rsidRPr="00F779BC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Всеки от </w:t>
      </w:r>
      <w:r w:rsidR="008E502C" w:rsidRPr="00F779BC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притежателите на разрешение за употреба на лекарствен/и продукт/и, формирали това </w:t>
      </w:r>
      <w:proofErr w:type="spellStart"/>
      <w:r w:rsidR="008E502C" w:rsidRPr="00F779BC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надвишение</w:t>
      </w:r>
      <w:proofErr w:type="spellEnd"/>
      <w:r w:rsidR="008E502C" w:rsidRPr="00F779BC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</w:t>
      </w:r>
      <w:r w:rsidRPr="00F779BC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възстановява на НЗОК сума, пропорционална на участието му в </w:t>
      </w:r>
      <w:proofErr w:type="spellStart"/>
      <w:r w:rsidRPr="00F779BC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надвишението</w:t>
      </w:r>
      <w:proofErr w:type="spellEnd"/>
      <w:r w:rsidRPr="00F779BC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F779BC" w:rsidRPr="00F779BC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в съответния </w:t>
      </w:r>
      <w:r w:rsidR="00F779BC" w:rsidRPr="00F779BC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INN</w:t>
      </w:r>
      <w:r w:rsidR="00F779BC" w:rsidRPr="00F779BC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и </w:t>
      </w:r>
      <w:r w:rsidR="007D7A70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на участието му в </w:t>
      </w:r>
      <w:proofErr w:type="spellStart"/>
      <w:r w:rsidR="00F779BC" w:rsidRPr="00F779BC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превишението</w:t>
      </w:r>
      <w:proofErr w:type="spellEnd"/>
      <w:r w:rsidR="00F779BC" w:rsidRPr="00F779BC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Pr="00F779BC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за основната група, към която принадлежи </w:t>
      </w:r>
      <w:r w:rsidR="00F779BC" w:rsidRPr="00F779BC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този</w:t>
      </w:r>
      <w:r w:rsidRPr="00F779BC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INN.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Тази сума следва да се възстанови от притеж</w:t>
      </w:r>
      <w:r w:rsidR="00CF185C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ателя на </w:t>
      </w:r>
      <w:r w:rsidR="00CF185C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lastRenderedPageBreak/>
        <w:t xml:space="preserve">разрешение за употреба или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негов упълномощен представител на НЗОК чрез директно плащане.</w:t>
      </w:r>
      <w:r w:rsidR="00CF185C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</w:p>
    <w:p w:rsidR="007D7A70" w:rsidRPr="00C415E8" w:rsidRDefault="007D7A70" w:rsidP="0091170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</w:p>
    <w:p w:rsidR="008E502C" w:rsidRPr="00134567" w:rsidRDefault="00BA6AA0" w:rsidP="00134567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На годишна база и за</w:t>
      </w:r>
      <w:r w:rsidR="00BE18AD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нуждите на годишното изравняване</w:t>
      </w:r>
      <w:r w:rsidR="00F8355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</w:t>
      </w:r>
      <w:r w:rsidR="00BE18AD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757DC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се у</w:t>
      </w:r>
      <w:r w:rsidR="00757DC7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становява</w:t>
      </w:r>
      <w:r w:rsidR="00757DC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т</w:t>
      </w:r>
      <w:r w:rsidR="00757DC7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международните непатентни наименования (INN), </w:t>
      </w:r>
      <w:r w:rsidR="00757DC7" w:rsidRPr="00C77CE9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към които принадлежат</w:t>
      </w:r>
      <w:r w:rsidR="00757DC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757DC7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лекарствени продукти на различни притежатели на разрешение за употреба  и при които </w:t>
      </w:r>
      <w:r w:rsidR="00757DC7"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INN</w:t>
      </w:r>
      <w:r w:rsidR="00757DC7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е налице </w:t>
      </w:r>
      <w:proofErr w:type="spellStart"/>
      <w:r w:rsidR="00757DC7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надвишение</w:t>
      </w:r>
      <w:proofErr w:type="spellEnd"/>
      <w:r w:rsidR="00757DC7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на разходите на НЗОК за </w:t>
      </w:r>
      <w:r w:rsidR="00757DC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цялата</w:t>
      </w:r>
      <w:r w:rsidR="00757DC7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202</w:t>
      </w:r>
      <w:r w:rsidR="00757DC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="00757DC7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="00757DC7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Г</w:t>
      </w:r>
      <w:r w:rsidR="00BE18AD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одишно </w:t>
      </w:r>
      <w:proofErr w:type="spellStart"/>
      <w:r w:rsidR="00BE18AD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надвишение</w:t>
      </w:r>
      <w:proofErr w:type="spellEnd"/>
      <w:r w:rsidR="00BE18AD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на разходите за дадено INN е налице, когато сумата от нетните разходи на НЗОК за лекарствените продукти в това INN за 202</w:t>
      </w:r>
      <w:r w:rsidR="00F8355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1</w:t>
      </w:r>
      <w:r w:rsidR="00BE18AD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 надвишава сумата на нетните разходи на НЗОК за същото INN, за 20</w:t>
      </w:r>
      <w:r w:rsidR="00F8355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20 </w:t>
      </w:r>
      <w:r w:rsidR="00BE18AD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</w:p>
    <w:p w:rsidR="0047336E" w:rsidRPr="00C415E8" w:rsidRDefault="0047336E" w:rsidP="001D178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3.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6. При промяна на статута на лекарствен продукт на притежател на разрешение за употреба в дадено INN (в резултат на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включване, респ. изключване на лекарствени продукти от съответното приложение на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ПЛС) и преминаването им от подгрупа "Самостоятелни лекарствени продукти" (т. </w:t>
      </w:r>
      <w:r w:rsidR="00E40F6A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3.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4.1) в подгрупа "Сборни лекарствени продукти" (т. </w:t>
      </w:r>
      <w:r w:rsidR="00E40F6A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3.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4.2) през предходната година статутът на лекарствения продукт се приема за променен считано от първо число на тримесечието, следващо тримесечието, през което е настъпила промяната.</w:t>
      </w:r>
    </w:p>
    <w:p w:rsidR="00C415E8" w:rsidRDefault="0047336E" w:rsidP="001D178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3.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6.1. В случай че нетният разход на НЗОК за това INN през тримесечието, от което статутът на лекарствения продукт е променен, както и за всяко следващо тримесечие, е по-малък от нетния разход на НЗОК за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аналогичното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тримесечие на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20</w:t>
      </w:r>
      <w:r w:rsidR="00F8355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20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, притежателят на разрешение за употреба има право на завишение на нетния си разход за неговата подгрупа </w:t>
      </w:r>
      <w:r w:rsid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"Самостоятелни лекарствени продукти" с 50 % от установенот</w:t>
      </w:r>
      <w:r w:rsid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о намаление в разхода за INN-а.</w:t>
      </w:r>
    </w:p>
    <w:p w:rsidR="0047336E" w:rsidRPr="00C415E8" w:rsidRDefault="0047336E" w:rsidP="001D178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3.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6.2. В случай че нетният разход на НЗОК за това INN през тримесечието, от което статутът на лекарствения продукт е променен, е по-голям от нетния разход на НЗОК за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аналогичното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тримесечие на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20</w:t>
      </w:r>
      <w:r w:rsidR="00A15E99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20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, се прилага редът за установяване на надвишението и неговото възстановяване по т.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3.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5.2.</w:t>
      </w:r>
    </w:p>
    <w:p w:rsidR="00056623" w:rsidRPr="004E3ECB" w:rsidRDefault="0047336E" w:rsidP="001D178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3.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7. При промяна на статута на лекарствен продукт на притежателя на разрешение за употреба в дадено INN (в резултат на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включване, респ. изключване на лекарствени продукти от съответното приложение на ПЛС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) и преминаването им от подгрупа "Сборни лекарствени продукти" в подгрупа "Самостоятелни лекарствени продукти" през </w:t>
      </w:r>
      <w:r w:rsidR="00446AC9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20</w:t>
      </w:r>
      <w:r w:rsidR="00A15E99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20 </w:t>
      </w:r>
      <w:r w:rsidR="00446AC9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или </w:t>
      </w:r>
      <w:r w:rsidR="00446AC9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през 202</w:t>
      </w:r>
      <w:r w:rsidR="00A15E99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="00446AC9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г.,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статутът на лекарствения продукт се приема за променен считано от първо число на тримесечието, следващо тримесечието, през което е настъпила промяната. В този случай се прилагат правилата </w:t>
      </w:r>
      <w:r w:rsidR="00865668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съгласно т. </w:t>
      </w: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3.</w:t>
      </w:r>
      <w:r w:rsidR="00056623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5.2.</w:t>
      </w:r>
    </w:p>
    <w:p w:rsidR="00864382" w:rsidRPr="004E3ECB" w:rsidRDefault="0047336E" w:rsidP="0018146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3.</w:t>
      </w:r>
      <w:r w:rsidR="00865668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8.</w:t>
      </w:r>
      <w:r w:rsidR="00864382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Междинно и годишно компенсиране</w:t>
      </w:r>
      <w:r w:rsidR="00865668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</w:p>
    <w:p w:rsidR="005D7CAA" w:rsidRPr="004E3ECB" w:rsidRDefault="005D7CAA" w:rsidP="0018146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trike/>
          <w:color w:val="000000" w:themeColor="text1"/>
          <w:sz w:val="24"/>
          <w:szCs w:val="24"/>
          <w:lang w:eastAsia="bg-BG"/>
        </w:rPr>
      </w:pP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В случай, че сбор</w:t>
      </w:r>
      <w:r w:rsidR="00AC7D5B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ът</w:t>
      </w: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от условните бюджети </w:t>
      </w:r>
      <w:r w:rsidR="00864382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на основна група лекарствени продукти </w:t>
      </w: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за </w:t>
      </w:r>
      <w:r w:rsidR="00864382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първите три тримесечия на 2021г.</w:t>
      </w: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не е достигнат </w:t>
      </w:r>
      <w:r w:rsidRPr="004E3ECB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(</w:t>
      </w:r>
      <w:r w:rsidR="00B61785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т.е.</w:t>
      </w:r>
      <w:r w:rsidR="00E32FB6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сборът от нетните разходи за основната група лекарствени продукти за първите три тримесечия на 2021г. е по-малък от сбора от условните бюджети на същата основна група за първите три тримесечия на 2021г.</w:t>
      </w:r>
      <w:r w:rsidRPr="004E3ECB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)</w:t>
      </w: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, </w:t>
      </w:r>
      <w:r w:rsidR="00FC4BA1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а при</w:t>
      </w:r>
      <w:r w:rsidR="00B61785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друга/и основна/и група/и сборът</w:t>
      </w:r>
      <w:r w:rsidR="00FC4BA1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от </w:t>
      </w:r>
      <w:r w:rsidR="00FC4BA1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lastRenderedPageBreak/>
        <w:t xml:space="preserve">условните бюджети за същите </w:t>
      </w:r>
      <w:r w:rsidR="00864382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три</w:t>
      </w:r>
      <w:r w:rsidR="00FC4BA1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тримесечия е </w:t>
      </w:r>
      <w:r w:rsidR="00E32FB6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превишен</w:t>
      </w:r>
      <w:r w:rsidR="00FC4BA1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 се извършва междинн</w:t>
      </w:r>
      <w:r w:rsidR="00864382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о</w:t>
      </w:r>
      <w:r w:rsidR="00FC4BA1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компенсиран</w:t>
      </w:r>
      <w:r w:rsidR="00864382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е</w:t>
      </w:r>
      <w:r w:rsidR="00FC4BA1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. При междинно компенсиране </w:t>
      </w: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разликата между сбор</w:t>
      </w:r>
      <w:r w:rsidR="00B61785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а</w:t>
      </w: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от условните бюджети за </w:t>
      </w:r>
      <w:r w:rsidR="00E32FB6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първите три</w:t>
      </w: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тримесечия и нетните разходи на НЗОК за същите </w:t>
      </w:r>
      <w:r w:rsidR="00E32FB6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три</w:t>
      </w: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тримесечия за лекарствените продукти от тази група</w:t>
      </w:r>
      <w:r w:rsidR="00B61785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се компенсира напълно или частично </w:t>
      </w:r>
      <w:r w:rsidR="00FC4BA1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с </w:t>
      </w: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превишението на сбор</w:t>
      </w:r>
      <w:r w:rsidR="00B61785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а</w:t>
      </w: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от условните бюджети</w:t>
      </w:r>
      <w:r w:rsidR="00C36348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за същите </w:t>
      </w:r>
      <w:r w:rsidR="00E32FB6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три</w:t>
      </w:r>
      <w:r w:rsidR="00C36348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тримесечия</w:t>
      </w: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на останалата</w:t>
      </w:r>
      <w:r w:rsidR="00E32FB6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/те</w:t>
      </w: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група/групи, при която/които е установено такова превишение. </w:t>
      </w:r>
    </w:p>
    <w:p w:rsidR="005D7CAA" w:rsidRPr="004E3ECB" w:rsidRDefault="00F31C68" w:rsidP="005D7CA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</w:pPr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Междинното к</w:t>
      </w:r>
      <w:r w:rsidR="005D7CA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омпенсиране за групата/групите с </w:t>
      </w:r>
      <w:proofErr w:type="spellStart"/>
      <w:r w:rsidR="005D7CA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превишение</w:t>
      </w:r>
      <w:proofErr w:type="spellEnd"/>
      <w:r w:rsidR="005D7CA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 </w:t>
      </w:r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за първите три тримесечия на 2021 г. </w:t>
      </w:r>
      <w:r w:rsidR="005D7CA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се извършва с групата/групите, </w:t>
      </w:r>
      <w:r w:rsidR="00AD4775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която/</w:t>
      </w:r>
      <w:r w:rsidR="005D7CA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които не </w:t>
      </w:r>
      <w:r w:rsidR="00AD4775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е/</w:t>
      </w:r>
      <w:r w:rsidR="005D7CA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са достигнал</w:t>
      </w:r>
      <w:r w:rsidR="00AD4775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а/</w:t>
      </w:r>
      <w:r w:rsidR="005D7CA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и </w:t>
      </w:r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сбора от </w:t>
      </w:r>
      <w:r w:rsidR="005D7CA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условни</w:t>
      </w:r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те</w:t>
      </w:r>
      <w:r w:rsidR="005D7CA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 бюджет</w:t>
      </w:r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и</w:t>
      </w:r>
      <w:r w:rsidR="005D7CA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 за </w:t>
      </w:r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първите три </w:t>
      </w:r>
      <w:r w:rsidR="005D7CA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тримесечи</w:t>
      </w:r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я на 2021 г</w:t>
      </w:r>
      <w:r w:rsidR="005D7CA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.</w:t>
      </w:r>
      <w:r w:rsidR="005D7CAA" w:rsidRPr="004E3ECB">
        <w:rPr>
          <w:rFonts w:ascii="Verdana" w:eastAsia="Times New Roman" w:hAnsi="Verdana" w:cs="Times New Roman"/>
          <w:smallCaps/>
          <w:color w:val="000000" w:themeColor="text1"/>
          <w:sz w:val="24"/>
          <w:szCs w:val="24"/>
          <w:lang w:eastAsia="bg-BG"/>
        </w:rPr>
        <w:t xml:space="preserve"> </w:t>
      </w:r>
      <w:r w:rsidR="005D7CA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Компенсирането е пропорционално на дела на нетните разходи </w:t>
      </w:r>
      <w:r w:rsidR="001D2479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за първите три тримесечия на 2021г. </w:t>
      </w:r>
      <w:r w:rsidR="005D7CA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на групата/групите с </w:t>
      </w:r>
      <w:proofErr w:type="spellStart"/>
      <w:r w:rsidR="005D7CA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превишение</w:t>
      </w:r>
      <w:proofErr w:type="spellEnd"/>
      <w:r w:rsidR="005D7CA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, </w:t>
      </w:r>
      <w:proofErr w:type="spellStart"/>
      <w:r w:rsidR="005D7CA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съотнесен</w:t>
      </w:r>
      <w:proofErr w:type="spellEnd"/>
      <w:r w:rsidR="005D7CA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 към </w:t>
      </w:r>
      <w:r w:rsidR="001D2479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нетния </w:t>
      </w:r>
      <w:r w:rsidR="005D7CAA" w:rsidRPr="001D2479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разход</w:t>
      </w:r>
      <w:r w:rsidR="005D7CA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 на тази</w:t>
      </w:r>
      <w:r w:rsidR="00AD4775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/тези</w:t>
      </w:r>
      <w:r w:rsidR="005D7CA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 група/групи</w:t>
      </w:r>
      <w:r w:rsidR="001D2479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 за същия период</w:t>
      </w:r>
      <w:r w:rsidR="005D7CA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. </w:t>
      </w:r>
    </w:p>
    <w:p w:rsidR="00B61785" w:rsidRPr="004E3ECB" w:rsidRDefault="00F31C68" w:rsidP="00F31C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</w:pPr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Междинното компенсиране се извършва </w:t>
      </w:r>
      <w:r w:rsidR="009F6AAB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след изтичане на </w:t>
      </w:r>
      <w:r w:rsidR="00C36348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bg-BG"/>
        </w:rPr>
        <w:t>II</w:t>
      </w:r>
      <w:r w:rsidR="00B27AB0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bg-BG"/>
        </w:rPr>
        <w:t>I</w:t>
      </w:r>
      <w:r w:rsidR="00C36348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-то тримесечие </w:t>
      </w:r>
      <w:r w:rsidR="009F6AAB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на 202</w:t>
      </w:r>
      <w:r w:rsidR="00E66FA6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1 </w:t>
      </w:r>
      <w:r w:rsidR="009F6AAB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г.</w:t>
      </w:r>
      <w:r w:rsidR="008446CC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, </w:t>
      </w:r>
      <w:r w:rsidR="00B27AB0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т.е. след изтичане на деветмесечието на 2021г.</w:t>
      </w:r>
    </w:p>
    <w:p w:rsidR="00A85195" w:rsidRPr="004E3ECB" w:rsidRDefault="00C36348" w:rsidP="001D178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</w:pPr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На годишна база (при годишно изравняване на разходите</w:t>
      </w:r>
      <w:r w:rsidR="00B27AB0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, респ. на </w:t>
      </w:r>
      <w:proofErr w:type="spellStart"/>
      <w:r w:rsidR="00B27AB0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превишенията</w:t>
      </w:r>
      <w:proofErr w:type="spellEnd"/>
      <w:r w:rsidR="00B27AB0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 и </w:t>
      </w:r>
      <w:proofErr w:type="spellStart"/>
      <w:r w:rsidR="00B27AB0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надвишенията</w:t>
      </w:r>
      <w:proofErr w:type="spellEnd"/>
      <w:r w:rsidR="00B27AB0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 по смисъла на този Механизъм</w:t>
      </w:r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) се извършва годишно компенсиране за цялата 202</w:t>
      </w:r>
      <w:r w:rsidR="00E66FA6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1 </w:t>
      </w:r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г</w:t>
      </w:r>
      <w:r w:rsidR="00F31C68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.</w:t>
      </w:r>
      <w:r w:rsidR="0051281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, при </w:t>
      </w:r>
      <w:r w:rsidR="002D3EB8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установено </w:t>
      </w:r>
      <w:r w:rsidR="0051281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недостигане на годишния бюджет </w:t>
      </w:r>
      <w:r w:rsidR="007A4D0B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на</w:t>
      </w:r>
      <w:r w:rsidR="00B53A62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 </w:t>
      </w:r>
      <w:r w:rsidR="007A4D0B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основна/и</w:t>
      </w:r>
      <w:r w:rsidR="0051281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 груп</w:t>
      </w:r>
      <w:r w:rsidR="00135A34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а/и</w:t>
      </w:r>
      <w:r w:rsidR="007A4D0B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 и установено </w:t>
      </w:r>
      <w:proofErr w:type="spellStart"/>
      <w:r w:rsidR="007A4D0B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превишение</w:t>
      </w:r>
      <w:proofErr w:type="spellEnd"/>
      <w:r w:rsidR="007A4D0B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 на годишния бюджет на друга/и основна/и група/и</w:t>
      </w:r>
      <w:r w:rsidR="0051281A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.</w:t>
      </w:r>
      <w:r w:rsidR="00F31C68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 </w:t>
      </w:r>
    </w:p>
    <w:p w:rsidR="00A85195" w:rsidRPr="004E3ECB" w:rsidRDefault="00A85195" w:rsidP="001D178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</w:pPr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Недостигане на годишния бюджет за 2021</w:t>
      </w:r>
      <w:r w:rsidR="007017A8"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bg-BG"/>
        </w:rPr>
        <w:t xml:space="preserve"> </w:t>
      </w:r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г. за основна група лекарствени продукти е налице, когато </w:t>
      </w: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сборът от нетните разходи за основната група лекарствени продукти за четирите тримесечия на 2021</w:t>
      </w:r>
      <w:r w:rsidR="007017A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 xml:space="preserve"> </w:t>
      </w: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 е по-малък от сбора от условните бюджети на същата основна група за четирите тримесечия на 2021</w:t>
      </w:r>
      <w:r w:rsidR="007017A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 xml:space="preserve"> </w:t>
      </w: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</w:p>
    <w:p w:rsidR="00A55DD6" w:rsidRPr="004E3ECB" w:rsidRDefault="00F31C68" w:rsidP="001D1782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</w:pPr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Годишното компенсиране се извършва </w:t>
      </w:r>
      <w:r w:rsidR="006475D9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непосредствено след годишното изравняване на разходите, в срок до края на първото тримесечие на следващата календарна година </w:t>
      </w:r>
      <w:r w:rsidR="006475D9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bg-BG"/>
        </w:rPr>
        <w:t>(</w:t>
      </w:r>
      <w:r w:rsidR="006475D9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т.е. след установяването на годишна база на съответните превишения и надвишения по смисъла на този Механизъм, както и установяване на годишните дължими суми за директно възстановяване от отделните притежатели на разрешение за употреба</w:t>
      </w:r>
      <w:r w:rsidR="006475D9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bg-BG"/>
        </w:rPr>
        <w:t>)</w:t>
      </w:r>
      <w:r w:rsidR="006475D9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. </w:t>
      </w:r>
    </w:p>
    <w:p w:rsidR="00C745FA" w:rsidRPr="004E3ECB" w:rsidRDefault="00C745FA" w:rsidP="00C745F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</w:pPr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Годишното компенсиране за групата/групите с </w:t>
      </w:r>
      <w:proofErr w:type="spellStart"/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превишение</w:t>
      </w:r>
      <w:proofErr w:type="spellEnd"/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 за цялата 2021 г. се извършва с групата/групите, </w:t>
      </w:r>
      <w:r w:rsidR="00AD4775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която/</w:t>
      </w:r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които не </w:t>
      </w:r>
      <w:r w:rsidR="00AD4775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е/</w:t>
      </w:r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са достигнали годишния/те си бюджет/и за 2021 г.</w:t>
      </w:r>
      <w:r w:rsidRPr="004E3ECB">
        <w:rPr>
          <w:rFonts w:ascii="Verdana" w:eastAsia="Times New Roman" w:hAnsi="Verdana" w:cs="Times New Roman"/>
          <w:smallCaps/>
          <w:color w:val="000000" w:themeColor="text1"/>
          <w:sz w:val="24"/>
          <w:szCs w:val="24"/>
          <w:lang w:eastAsia="bg-BG"/>
        </w:rPr>
        <w:t xml:space="preserve"> </w:t>
      </w:r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Компенсирането е пропорционално на дела на нетните разходи </w:t>
      </w:r>
      <w:r w:rsidR="00854BA8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за цялата 2021</w:t>
      </w:r>
      <w:r w:rsidR="007017A8"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bg-BG"/>
        </w:rPr>
        <w:t xml:space="preserve"> </w:t>
      </w:r>
      <w:r w:rsidR="00854BA8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г. </w:t>
      </w:r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на групата/групите с </w:t>
      </w:r>
      <w:proofErr w:type="spellStart"/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превишение</w:t>
      </w:r>
      <w:proofErr w:type="spellEnd"/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, </w:t>
      </w:r>
      <w:proofErr w:type="spellStart"/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съотнесен</w:t>
      </w:r>
      <w:proofErr w:type="spellEnd"/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 към </w:t>
      </w:r>
      <w:r w:rsidR="00854BA8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нетния/те </w:t>
      </w:r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разход</w:t>
      </w:r>
      <w:r w:rsidR="00854BA8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/и</w:t>
      </w:r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 на тази</w:t>
      </w:r>
      <w:r w:rsidR="00AD4775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/тези</w:t>
      </w:r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 група/групи</w:t>
      </w:r>
      <w:r w:rsidR="00854BA8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 за цялата 2021</w:t>
      </w:r>
      <w:r w:rsidR="007017A8"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bg-BG"/>
        </w:rPr>
        <w:t xml:space="preserve"> </w:t>
      </w:r>
      <w:r w:rsidR="00854BA8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г</w:t>
      </w:r>
      <w:r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. </w:t>
      </w:r>
      <w:r w:rsidR="006475D9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В резултат на извършеното годишно компенсиране се извършва</w:t>
      </w:r>
      <w:r w:rsidR="00F861A6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/т съответна/и</w:t>
      </w:r>
      <w:r w:rsidR="006475D9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 xml:space="preserve"> корекция</w:t>
      </w:r>
      <w:r w:rsidR="00135A34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/</w:t>
      </w:r>
      <w:r w:rsidR="00F861A6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и</w:t>
      </w:r>
      <w:r w:rsidR="006475D9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, където е приложимо, на параметрите на годишните превишения и надвишения по смисъла на Механизма, както и на сумите за цялата 2021</w:t>
      </w:r>
      <w:r w:rsidR="007017A8"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bg-BG"/>
        </w:rPr>
        <w:t xml:space="preserve"> </w:t>
      </w:r>
      <w:r w:rsidR="006475D9" w:rsidRPr="004E3ECB"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  <w:t>г., подлежащи на директни плащания в полза на НЗОК при прилагането му от отделните притежатели на разрешение за употреба.</w:t>
      </w:r>
    </w:p>
    <w:p w:rsidR="006475D9" w:rsidRPr="004E3ECB" w:rsidRDefault="006475D9" w:rsidP="00C745F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bg-BG"/>
        </w:rPr>
      </w:pPr>
    </w:p>
    <w:p w:rsidR="00126CB3" w:rsidRPr="004E3ECB" w:rsidRDefault="00A55DD6" w:rsidP="001D1782">
      <w:pPr>
        <w:spacing w:after="0" w:line="240" w:lineRule="auto"/>
        <w:ind w:firstLine="708"/>
        <w:jc w:val="both"/>
        <w:rPr>
          <w:rFonts w:ascii="Verdana" w:eastAsia="Calibri" w:hAnsi="Verdana"/>
          <w:sz w:val="24"/>
          <w:szCs w:val="24"/>
          <w:shd w:val="clear" w:color="auto" w:fill="FFFFFF"/>
        </w:rPr>
      </w:pP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3.9.</w:t>
      </w:r>
      <w:r w:rsidR="00093C2D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Pr="004E3ECB">
        <w:rPr>
          <w:rFonts w:ascii="Verdana" w:eastAsia="Calibri" w:hAnsi="Verdana"/>
          <w:sz w:val="24"/>
          <w:szCs w:val="24"/>
          <w:shd w:val="clear" w:color="auto" w:fill="FFFFFF"/>
        </w:rPr>
        <w:t xml:space="preserve">В </w:t>
      </w:r>
      <w:r w:rsidR="00093C2D" w:rsidRPr="004E3ECB">
        <w:rPr>
          <w:rFonts w:ascii="Verdana" w:eastAsia="Calibri" w:hAnsi="Verdana"/>
          <w:sz w:val="24"/>
          <w:szCs w:val="24"/>
          <w:shd w:val="clear" w:color="auto" w:fill="FFFFFF"/>
        </w:rPr>
        <w:t>срок до края на първото тримесечие на 202</w:t>
      </w:r>
      <w:r w:rsidR="00E66FA6" w:rsidRPr="004E3ECB">
        <w:rPr>
          <w:rFonts w:ascii="Verdana" w:eastAsia="Calibri" w:hAnsi="Verdana"/>
          <w:sz w:val="24"/>
          <w:szCs w:val="24"/>
          <w:shd w:val="clear" w:color="auto" w:fill="FFFFFF"/>
        </w:rPr>
        <w:t xml:space="preserve">2 </w:t>
      </w:r>
      <w:r w:rsidR="00093C2D" w:rsidRPr="004E3ECB">
        <w:rPr>
          <w:rFonts w:ascii="Verdana" w:eastAsia="Calibri" w:hAnsi="Verdana"/>
          <w:sz w:val="24"/>
          <w:szCs w:val="24"/>
          <w:shd w:val="clear" w:color="auto" w:fill="FFFFFF"/>
        </w:rPr>
        <w:t>г.</w:t>
      </w:r>
      <w:r w:rsidRPr="004E3ECB">
        <w:rPr>
          <w:rFonts w:ascii="Verdana" w:eastAsia="Calibri" w:hAnsi="Verdana"/>
          <w:sz w:val="24"/>
          <w:szCs w:val="24"/>
          <w:shd w:val="clear" w:color="auto" w:fill="FFFFFF"/>
        </w:rPr>
        <w:t>, НЗОК извършва годишно изравняване</w:t>
      </w:r>
      <w:r w:rsidR="00126CB3" w:rsidRPr="004E3ECB">
        <w:rPr>
          <w:rFonts w:ascii="Verdana" w:eastAsia="Calibri" w:hAnsi="Verdana"/>
          <w:sz w:val="24"/>
          <w:szCs w:val="24"/>
          <w:shd w:val="clear" w:color="auto" w:fill="FFFFFF"/>
        </w:rPr>
        <w:t>. За целта НЗОК установява:</w:t>
      </w:r>
    </w:p>
    <w:p w:rsidR="00126CB3" w:rsidRPr="00C415E8" w:rsidRDefault="00126CB3" w:rsidP="00126CB3">
      <w:pPr>
        <w:pStyle w:val="ListParagraph"/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4E3ECB">
        <w:rPr>
          <w:rFonts w:ascii="Verdana" w:eastAsia="Calibri" w:hAnsi="Verdana"/>
          <w:sz w:val="24"/>
          <w:szCs w:val="24"/>
          <w:shd w:val="clear" w:color="auto" w:fill="FFFFFF"/>
        </w:rPr>
        <w:lastRenderedPageBreak/>
        <w:t>а</w:t>
      </w:r>
      <w:r w:rsidRPr="004E3ECB">
        <w:rPr>
          <w:rFonts w:ascii="Verdana" w:eastAsia="Calibri" w:hAnsi="Verdana"/>
          <w:sz w:val="24"/>
          <w:szCs w:val="24"/>
          <w:shd w:val="clear" w:color="auto" w:fill="FFFFFF"/>
          <w:lang w:val="en-US"/>
        </w:rPr>
        <w:t>)</w:t>
      </w:r>
      <w:r w:rsidRPr="004E3ECB">
        <w:rPr>
          <w:rFonts w:ascii="Verdana" w:eastAsia="Calibri" w:hAnsi="Verdana"/>
          <w:sz w:val="24"/>
          <w:szCs w:val="24"/>
          <w:shd w:val="clear" w:color="auto" w:fill="FFFFFF"/>
        </w:rPr>
        <w:t xml:space="preserve"> </w:t>
      </w: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дали е налице </w:t>
      </w:r>
      <w:proofErr w:type="spellStart"/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превишение</w:t>
      </w:r>
      <w:proofErr w:type="spellEnd"/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на </w:t>
      </w:r>
      <w:r w:rsidR="001A6104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годишните </w:t>
      </w: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нетни разходи на НЗОК за 202</w:t>
      </w:r>
      <w:r w:rsidR="00EB4026" w:rsidRPr="004E3ECB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1</w:t>
      </w:r>
      <w:r w:rsidR="007017A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 xml:space="preserve"> </w:t>
      </w: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 за всяка основна група, спрямо годишния й бюджет за 202</w:t>
      </w:r>
      <w:r w:rsidR="00E66FA6"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Pr="004E3ECB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="005C141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и конкретните размери на превишението на годишна база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;</w:t>
      </w:r>
    </w:p>
    <w:p w:rsidR="005C141A" w:rsidRPr="00C415E8" w:rsidRDefault="00126CB3" w:rsidP="005C141A">
      <w:pPr>
        <w:pStyle w:val="ListParagraph"/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б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 xml:space="preserve">)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в случай, че годишният бюджет за 202</w:t>
      </w:r>
      <w:r w:rsidR="00E66FA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г. на основна група не е достигнат, разликата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(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между годишния бюджет за 202</w:t>
      </w:r>
      <w:r w:rsidR="00E66FA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 и нетните разходи на НЗОК за лекарствените продукти от тази група за 202</w:t>
      </w:r>
      <w:r w:rsidR="00E66FA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)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следва да компенсира превишението на годишния бюджет/годишните бюджети на групата/групите, при която/които е установено такова. Компенсирането се извършва съгласно т.3.8.</w:t>
      </w:r>
      <w:r w:rsidR="005C141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; след извършеното компенсиране се установяват основните групи с </w:t>
      </w:r>
      <w:proofErr w:type="spellStart"/>
      <w:r w:rsidR="005C141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превишение</w:t>
      </w:r>
      <w:proofErr w:type="spellEnd"/>
      <w:r w:rsidR="005C141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на годишните им бюджети и </w:t>
      </w:r>
      <w:r w:rsidR="007D3E5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конкретните размери </w:t>
      </w:r>
      <w:r w:rsidR="005C141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на </w:t>
      </w:r>
      <w:proofErr w:type="spellStart"/>
      <w:r w:rsidR="005C141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превишенията</w:t>
      </w:r>
      <w:proofErr w:type="spellEnd"/>
      <w:r w:rsidR="005C141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7D3E5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за 202</w:t>
      </w:r>
      <w:r w:rsidR="00EB4026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1</w:t>
      </w:r>
      <w:r w:rsidR="007017A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 xml:space="preserve"> </w:t>
      </w:r>
      <w:r w:rsidR="007D3E5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="005C141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;</w:t>
      </w:r>
    </w:p>
    <w:p w:rsidR="009F4EA4" w:rsidRPr="00C415E8" w:rsidRDefault="001A6104" w:rsidP="009F4EA4">
      <w:pPr>
        <w:pStyle w:val="ListParagraph"/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в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)</w:t>
      </w:r>
      <w:r w:rsidR="005C141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в случаите по букви „а“ и „б“ НЗОК преизчислява дължимите директни плащания към НЗОК от притежателите на разрешенията за употреба, при условията и по реда, посочени в т.3.4. и 3.5.</w:t>
      </w:r>
      <w:r w:rsidR="009F4EA4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НЗОК извършва годишно изравняване п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ри надвишен или по-малък размер на възстановената сума от притежателя на разрешение за употреба/негов упълномощен представител по тримесечия </w:t>
      </w:r>
      <w:r w:rsidR="009F4EA4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на 202</w:t>
      </w:r>
      <w:r w:rsidR="00EB4026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 xml:space="preserve">1 </w:t>
      </w:r>
      <w:r w:rsidR="009F4EA4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г.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спрямо общата дължима от него сума за възстановяване </w:t>
      </w:r>
      <w:r w:rsidR="009F4EA4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на годишна база </w:t>
      </w:r>
      <w:r w:rsidR="009F4EA4"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(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за </w:t>
      </w:r>
      <w:r w:rsidR="009F4EA4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цялата 202</w:t>
      </w:r>
      <w:r w:rsidR="00E66FA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1 </w:t>
      </w:r>
      <w:r w:rsidR="009F4EA4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г.</w:t>
      </w:r>
      <w:r w:rsidR="009F4EA4" w:rsidRPr="00C415E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)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.</w:t>
      </w:r>
      <w:r w:rsidR="005B5BD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В случай</w:t>
      </w:r>
      <w:r w:rsidR="004017DF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че са и</w:t>
      </w:r>
      <w:r w:rsidR="009F4EA4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звършени плащания по настоящия М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еханизъм</w:t>
      </w:r>
      <w:r w:rsidR="009F4EA4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по тримесечия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, </w:t>
      </w:r>
      <w:r w:rsidR="009F4EA4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но в резултат на преизчисляването НЗОК установи недължимост на тези плащания, или по-малък размер на дължимите плащания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, </w:t>
      </w:r>
      <w:r w:rsidR="007D3E5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при съгласие между НЗОК и притежателя на разрешението за употреба/негов упълномощен представител </w:t>
      </w:r>
      <w:r w:rsidR="009F4EA4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сумите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се </w:t>
      </w:r>
      <w:r w:rsidR="007D3E5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прихващат с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бъдещи </w:t>
      </w:r>
      <w:r w:rsidR="007D3E5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изискуеми и ликвидни парични задължения</w:t>
      </w:r>
      <w:r w:rsidR="009F4EA4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7D3E5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на</w:t>
      </w:r>
      <w:r w:rsidR="009F4EA4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7D3E5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притежателя</w:t>
      </w:r>
      <w:r w:rsidR="009F4EA4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/негов </w:t>
      </w:r>
      <w:r w:rsidR="007D3E5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упълномощен представител</w:t>
      </w:r>
      <w:r w:rsidR="009F4EA4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към НЗОК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, а при липса на такива</w:t>
      </w:r>
      <w:r w:rsidR="00093C2D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или при непостигнато съгласие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– се възстановяват от НЗОК</w:t>
      </w:r>
      <w:r w:rsidR="007D3E5A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на притежателя/негов упълномощен представител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.</w:t>
      </w:r>
      <w:r w:rsidR="009F4EA4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9C2F4C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При установен в резултат на преизчисляването по-голям размер на дължимите директни плащания, същите се заплащат на НЗОК</w:t>
      </w:r>
      <w:r w:rsidR="00026D5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093C2D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от притежателя на разрешението за употреба/негов упълномощен представител </w:t>
      </w:r>
      <w:r w:rsidR="00026D50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в сроковете, установени в Наредба №10.</w:t>
      </w:r>
    </w:p>
    <w:p w:rsidR="001E4D00" w:rsidRPr="00547AF6" w:rsidRDefault="0047336E" w:rsidP="009F4EA4">
      <w:pPr>
        <w:pStyle w:val="ListParagraph"/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4.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="00B33CD5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За прилагането на Механизма НЗОК публикува  на интернет страницата си информация и предоставя на притежателите на разрешенията за употреба или техни упълномощени представители справки</w:t>
      </w:r>
      <w:r w:rsidR="00547AF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съгласно чл.35 от Наредба №10, на база данните от интегрираната информационна система </w:t>
      </w:r>
      <w:r w:rsidR="00547AF6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(</w:t>
      </w:r>
      <w:r w:rsidR="00547AF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ИИС</w:t>
      </w:r>
      <w:r w:rsidR="00547AF6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)</w:t>
      </w:r>
      <w:r w:rsidR="00547AF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на НЗОК.</w:t>
      </w:r>
    </w:p>
    <w:p w:rsidR="007F148C" w:rsidRPr="00C415E8" w:rsidRDefault="00B33CD5" w:rsidP="00B33CD5">
      <w:pPr>
        <w:pStyle w:val="ListParagraph"/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5. 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Всяко тримесечие НЗОК съвместно с организации на притежателите на разрешения за употреба може да извъ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ршва анализ на изпълнението на М</w:t>
      </w:r>
      <w:r w:rsidR="00865668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еханизма.</w:t>
      </w:r>
    </w:p>
    <w:p w:rsidR="00B33CD5" w:rsidRDefault="00B33CD5" w:rsidP="00B33CD5">
      <w:pPr>
        <w:pStyle w:val="ListParagraph"/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6. За прилагането на Механизма управителят на НЗОК утвърждава методика, която се публикува на интернет страницата на НЗОК. Методиката е неразделна част от договорите за </w:t>
      </w:r>
      <w:r w:rsidR="00E66FA6"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прилагане на механизма, гарантиращ предвидимост и устойчивост на бюджета на НЗОК </w:t>
      </w:r>
      <w:r w:rsidR="00E66FA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за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202</w:t>
      </w:r>
      <w:r w:rsidR="00E66FA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1</w:t>
      </w:r>
      <w:r w:rsidR="007017A8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 xml:space="preserve">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г., сключени </w:t>
      </w:r>
      <w:r w:rsidR="00E66FA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на основание чл.45, ал.33 от ЗЗО 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между НЗОК и притежателите на разрешенията за употреба или т</w:t>
      </w:r>
      <w:r w:rsidR="00E66FA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ехни упълномощени представители</w:t>
      </w:r>
      <w:r w:rsidRPr="00C415E8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.</w:t>
      </w:r>
    </w:p>
    <w:p w:rsidR="00666304" w:rsidRDefault="00666304" w:rsidP="00B33CD5">
      <w:pPr>
        <w:pStyle w:val="ListParagraph"/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</w:p>
    <w:p w:rsidR="00666304" w:rsidRPr="003C7B54" w:rsidRDefault="00666304" w:rsidP="00666304">
      <w:pPr>
        <w:pStyle w:val="ListParagraph"/>
        <w:spacing w:after="0" w:line="240" w:lineRule="auto"/>
        <w:ind w:left="2124"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3C7B54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Заключителн</w:t>
      </w:r>
      <w:r w:rsidR="00951F62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и</w:t>
      </w:r>
      <w:r w:rsidRPr="003C7B54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разпоредб</w:t>
      </w:r>
      <w:r w:rsidR="00951F62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и</w:t>
      </w:r>
    </w:p>
    <w:p w:rsidR="00666304" w:rsidRPr="003C7B54" w:rsidRDefault="00666304" w:rsidP="006663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</w:p>
    <w:p w:rsidR="00666304" w:rsidRPr="00951F62" w:rsidRDefault="00666304" w:rsidP="00951F62">
      <w:pPr>
        <w:pStyle w:val="ListParagraph"/>
        <w:numPr>
          <w:ilvl w:val="0"/>
          <w:numId w:val="9"/>
        </w:numPr>
        <w:spacing w:after="0" w:line="240" w:lineRule="auto"/>
        <w:ind w:left="0" w:firstLine="70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951F62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Настоящият механизъм е приет от надзорния съвет на НЗОК с Решение №РД-НС-</w:t>
      </w:r>
      <w:r w:rsidR="0000275F" w:rsidRPr="00951F62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04-</w:t>
      </w:r>
      <w:r w:rsidR="00EB402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3</w:t>
      </w:r>
      <w:r w:rsidR="0000275F" w:rsidRPr="00951F62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от </w:t>
      </w:r>
      <w:r w:rsidR="00EB402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12.</w:t>
      </w:r>
      <w:r w:rsidR="0000275F" w:rsidRPr="00951F62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01.202</w:t>
      </w:r>
      <w:r w:rsidR="00951F62" w:rsidRPr="00951F62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1</w:t>
      </w:r>
      <w:r w:rsidR="0000275F" w:rsidRPr="00951F62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г.</w:t>
      </w:r>
      <w:r w:rsidRPr="00951F62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, издадено на основание </w:t>
      </w:r>
      <w:r w:rsidRPr="00951F62">
        <w:rPr>
          <w:rFonts w:ascii="Verdana" w:hAnsi="Verdana" w:cs="Times New Roman"/>
          <w:sz w:val="24"/>
          <w:szCs w:val="24"/>
        </w:rPr>
        <w:t xml:space="preserve">чл.15, ал.1, т.4а и </w:t>
      </w:r>
      <w:r w:rsidR="00093C7B" w:rsidRPr="00951F62">
        <w:rPr>
          <w:rFonts w:ascii="Verdana" w:hAnsi="Verdana" w:cs="Times New Roman"/>
          <w:sz w:val="24"/>
          <w:szCs w:val="24"/>
        </w:rPr>
        <w:t>чл.</w:t>
      </w:r>
      <w:r w:rsidRPr="00951F62">
        <w:rPr>
          <w:rFonts w:ascii="Verdana" w:hAnsi="Verdana" w:cs="Times New Roman"/>
          <w:sz w:val="24"/>
          <w:szCs w:val="24"/>
          <w:lang w:val="ru-RU"/>
        </w:rPr>
        <w:t>45</w:t>
      </w:r>
      <w:r w:rsidRPr="00951F62">
        <w:rPr>
          <w:rFonts w:ascii="Verdana" w:hAnsi="Verdana" w:cs="Times New Roman"/>
          <w:sz w:val="24"/>
          <w:szCs w:val="24"/>
        </w:rPr>
        <w:t>, ал.</w:t>
      </w:r>
      <w:r w:rsidR="00951F62" w:rsidRPr="00951F62">
        <w:rPr>
          <w:rFonts w:ascii="Verdana" w:hAnsi="Verdana" w:cs="Times New Roman"/>
          <w:sz w:val="24"/>
          <w:szCs w:val="24"/>
          <w:lang w:val="ru-RU"/>
        </w:rPr>
        <w:t>31</w:t>
      </w:r>
      <w:r w:rsidRPr="00951F62">
        <w:rPr>
          <w:rFonts w:ascii="Verdana" w:hAnsi="Verdana" w:cs="Times New Roman"/>
          <w:sz w:val="24"/>
          <w:szCs w:val="24"/>
        </w:rPr>
        <w:t xml:space="preserve"> от Закона за здравното осигуряване, и влиза в сила от 01.01.202</w:t>
      </w:r>
      <w:r w:rsidR="00951F62" w:rsidRPr="00951F62">
        <w:rPr>
          <w:rFonts w:ascii="Verdana" w:hAnsi="Verdana" w:cs="Times New Roman"/>
          <w:sz w:val="24"/>
          <w:szCs w:val="24"/>
        </w:rPr>
        <w:t xml:space="preserve">1 </w:t>
      </w:r>
      <w:r w:rsidRPr="00951F62">
        <w:rPr>
          <w:rFonts w:ascii="Verdana" w:hAnsi="Verdana" w:cs="Times New Roman"/>
          <w:sz w:val="24"/>
          <w:szCs w:val="24"/>
        </w:rPr>
        <w:t>г.</w:t>
      </w:r>
    </w:p>
    <w:p w:rsidR="00951F62" w:rsidRPr="00951F62" w:rsidRDefault="00134567" w:rsidP="00951F62">
      <w:pPr>
        <w:pStyle w:val="ListParagraph"/>
        <w:numPr>
          <w:ilvl w:val="0"/>
          <w:numId w:val="9"/>
        </w:numPr>
        <w:spacing w:after="0" w:line="240" w:lineRule="auto"/>
        <w:ind w:left="0" w:firstLine="70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>
        <w:rPr>
          <w:rFonts w:ascii="Verdana" w:hAnsi="Verdana" w:cs="Times New Roman"/>
          <w:sz w:val="24"/>
          <w:szCs w:val="24"/>
        </w:rPr>
        <w:t>На основание чл.45, ал.31, изр. трето от ЗЗО, м</w:t>
      </w:r>
      <w:r w:rsidR="00951F62">
        <w:rPr>
          <w:rFonts w:ascii="Verdana" w:hAnsi="Verdana" w:cs="Times New Roman"/>
          <w:sz w:val="24"/>
          <w:szCs w:val="24"/>
        </w:rPr>
        <w:t xml:space="preserve">еханизмът се обнародва в „Държавен вестник“ от управителя на НЗОК. </w:t>
      </w:r>
    </w:p>
    <w:sectPr w:rsidR="00951F62" w:rsidRPr="00951F62" w:rsidSect="00056623">
      <w:headerReference w:type="default" r:id="rId12"/>
      <w:footerReference w:type="default" r:id="rId13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B0" w:rsidRDefault="008B70B0" w:rsidP="00056623">
      <w:pPr>
        <w:spacing w:after="0" w:line="240" w:lineRule="auto"/>
      </w:pPr>
      <w:r>
        <w:separator/>
      </w:r>
    </w:p>
  </w:endnote>
  <w:endnote w:type="continuationSeparator" w:id="0">
    <w:p w:rsidR="008B70B0" w:rsidRDefault="008B70B0" w:rsidP="0005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196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67C0" w:rsidRDefault="00F467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6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67C0" w:rsidRDefault="00F46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B0" w:rsidRDefault="008B70B0" w:rsidP="00056623">
      <w:pPr>
        <w:spacing w:after="0" w:line="240" w:lineRule="auto"/>
      </w:pPr>
      <w:r>
        <w:separator/>
      </w:r>
    </w:p>
  </w:footnote>
  <w:footnote w:type="continuationSeparator" w:id="0">
    <w:p w:rsidR="008B70B0" w:rsidRDefault="008B70B0" w:rsidP="00056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A3" w:rsidRPr="00564E01" w:rsidRDefault="00DF66A3" w:rsidP="001F78B1">
    <w:pPr>
      <w:pStyle w:val="Header"/>
      <w:jc w:val="right"/>
      <w:rPr>
        <w:i/>
        <w:sz w:val="20"/>
      </w:rPr>
    </w:pPr>
  </w:p>
  <w:p w:rsidR="00564E01" w:rsidRDefault="00564E01" w:rsidP="001F78B1">
    <w:pPr>
      <w:pStyle w:val="Header"/>
      <w:jc w:val="right"/>
    </w:pPr>
  </w:p>
  <w:p w:rsidR="001F78B1" w:rsidRDefault="001F78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6DA"/>
    <w:multiLevelType w:val="hybridMultilevel"/>
    <w:tmpl w:val="EE3634D6"/>
    <w:lvl w:ilvl="0" w:tplc="5A5E5BF2">
      <w:start w:val="6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5CB4ACB"/>
    <w:multiLevelType w:val="hybridMultilevel"/>
    <w:tmpl w:val="A45494FE"/>
    <w:lvl w:ilvl="0" w:tplc="30441406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28550D19"/>
    <w:multiLevelType w:val="hybridMultilevel"/>
    <w:tmpl w:val="5F14FD38"/>
    <w:lvl w:ilvl="0" w:tplc="5EEAAC30">
      <w:start w:val="1"/>
      <w:numFmt w:val="decimal"/>
      <w:lvlText w:val="%1."/>
      <w:lvlJc w:val="left"/>
      <w:pPr>
        <w:ind w:left="1776" w:hanging="360"/>
      </w:pPr>
      <w:rPr>
        <w:rFonts w:ascii="Verdana" w:eastAsia="Times New Roman" w:hAnsi="Verdana" w:cs="Times New Roman" w:hint="default"/>
        <w:color w:val="000000"/>
      </w:rPr>
    </w:lvl>
    <w:lvl w:ilvl="1" w:tplc="04020019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76433E0"/>
    <w:multiLevelType w:val="hybridMultilevel"/>
    <w:tmpl w:val="1A22EDAC"/>
    <w:lvl w:ilvl="0" w:tplc="DF7657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BBF3BF8"/>
    <w:multiLevelType w:val="multilevel"/>
    <w:tmpl w:val="871476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59D926CE"/>
    <w:multiLevelType w:val="hybridMultilevel"/>
    <w:tmpl w:val="82BAC128"/>
    <w:lvl w:ilvl="0" w:tplc="A17CAFB0">
      <w:start w:val="4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61AF31D0"/>
    <w:multiLevelType w:val="hybridMultilevel"/>
    <w:tmpl w:val="6BE6DEB8"/>
    <w:lvl w:ilvl="0" w:tplc="43EAFA6A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6A91187E"/>
    <w:multiLevelType w:val="hybridMultilevel"/>
    <w:tmpl w:val="F880EABE"/>
    <w:lvl w:ilvl="0" w:tplc="E138C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7C2828"/>
    <w:multiLevelType w:val="hybridMultilevel"/>
    <w:tmpl w:val="DBB66AE8"/>
    <w:lvl w:ilvl="0" w:tplc="B666DA44">
      <w:start w:val="3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68"/>
    <w:rsid w:val="0000275F"/>
    <w:rsid w:val="000233EF"/>
    <w:rsid w:val="00026D50"/>
    <w:rsid w:val="000352F1"/>
    <w:rsid w:val="00056623"/>
    <w:rsid w:val="00066F29"/>
    <w:rsid w:val="000737AC"/>
    <w:rsid w:val="00081DD5"/>
    <w:rsid w:val="00093C2D"/>
    <w:rsid w:val="00093C7B"/>
    <w:rsid w:val="000A2986"/>
    <w:rsid w:val="000C359F"/>
    <w:rsid w:val="000E50B5"/>
    <w:rsid w:val="00103FD4"/>
    <w:rsid w:val="00125D4C"/>
    <w:rsid w:val="00126CB3"/>
    <w:rsid w:val="00127F64"/>
    <w:rsid w:val="00134567"/>
    <w:rsid w:val="00135A34"/>
    <w:rsid w:val="0018146D"/>
    <w:rsid w:val="00193B84"/>
    <w:rsid w:val="001A46F0"/>
    <w:rsid w:val="001A6104"/>
    <w:rsid w:val="001C7371"/>
    <w:rsid w:val="001D1782"/>
    <w:rsid w:val="001D2479"/>
    <w:rsid w:val="001D281F"/>
    <w:rsid w:val="001D4C18"/>
    <w:rsid w:val="001E4D00"/>
    <w:rsid w:val="001F78B1"/>
    <w:rsid w:val="00201E45"/>
    <w:rsid w:val="00215BCC"/>
    <w:rsid w:val="00221B61"/>
    <w:rsid w:val="00247F20"/>
    <w:rsid w:val="00255D4D"/>
    <w:rsid w:val="002A180C"/>
    <w:rsid w:val="002A38F9"/>
    <w:rsid w:val="002C1432"/>
    <w:rsid w:val="002C3D39"/>
    <w:rsid w:val="002C550C"/>
    <w:rsid w:val="002D3EB8"/>
    <w:rsid w:val="002F5E23"/>
    <w:rsid w:val="002F63F6"/>
    <w:rsid w:val="002F6D9B"/>
    <w:rsid w:val="00316FA7"/>
    <w:rsid w:val="00326145"/>
    <w:rsid w:val="0037544D"/>
    <w:rsid w:val="00395095"/>
    <w:rsid w:val="003979BB"/>
    <w:rsid w:val="003A1F4A"/>
    <w:rsid w:val="003B37A0"/>
    <w:rsid w:val="003C68FA"/>
    <w:rsid w:val="003C7B54"/>
    <w:rsid w:val="003E01D6"/>
    <w:rsid w:val="003E5C6F"/>
    <w:rsid w:val="003F05CB"/>
    <w:rsid w:val="004017DF"/>
    <w:rsid w:val="00434E76"/>
    <w:rsid w:val="00446AC9"/>
    <w:rsid w:val="004656E9"/>
    <w:rsid w:val="0047336E"/>
    <w:rsid w:val="004B589E"/>
    <w:rsid w:val="004C1C5B"/>
    <w:rsid w:val="004C75F9"/>
    <w:rsid w:val="004C7F67"/>
    <w:rsid w:val="004E0A3F"/>
    <w:rsid w:val="004E3ECB"/>
    <w:rsid w:val="00506BEE"/>
    <w:rsid w:val="00507647"/>
    <w:rsid w:val="0051281A"/>
    <w:rsid w:val="00526166"/>
    <w:rsid w:val="00533D62"/>
    <w:rsid w:val="00537AA7"/>
    <w:rsid w:val="00547848"/>
    <w:rsid w:val="00547AF6"/>
    <w:rsid w:val="00561D4F"/>
    <w:rsid w:val="0056237C"/>
    <w:rsid w:val="00564E01"/>
    <w:rsid w:val="0057743A"/>
    <w:rsid w:val="005850BA"/>
    <w:rsid w:val="005B2BB7"/>
    <w:rsid w:val="005B5BDF"/>
    <w:rsid w:val="005C141A"/>
    <w:rsid w:val="005D7CAA"/>
    <w:rsid w:val="005F512C"/>
    <w:rsid w:val="00600578"/>
    <w:rsid w:val="00607E1A"/>
    <w:rsid w:val="00614689"/>
    <w:rsid w:val="00622F4F"/>
    <w:rsid w:val="006443AA"/>
    <w:rsid w:val="006475D9"/>
    <w:rsid w:val="00647B9F"/>
    <w:rsid w:val="00650EDC"/>
    <w:rsid w:val="0066145B"/>
    <w:rsid w:val="00666304"/>
    <w:rsid w:val="0068214D"/>
    <w:rsid w:val="006900A4"/>
    <w:rsid w:val="00692FE8"/>
    <w:rsid w:val="00695E26"/>
    <w:rsid w:val="006B44E6"/>
    <w:rsid w:val="006B770A"/>
    <w:rsid w:val="006D6788"/>
    <w:rsid w:val="007017A8"/>
    <w:rsid w:val="00757DC7"/>
    <w:rsid w:val="007A00A0"/>
    <w:rsid w:val="007A00FB"/>
    <w:rsid w:val="007A4D0B"/>
    <w:rsid w:val="007B6323"/>
    <w:rsid w:val="007B6B15"/>
    <w:rsid w:val="007C385E"/>
    <w:rsid w:val="007D3E5A"/>
    <w:rsid w:val="007D7A70"/>
    <w:rsid w:val="0080713B"/>
    <w:rsid w:val="00825B52"/>
    <w:rsid w:val="008446CC"/>
    <w:rsid w:val="00854BA8"/>
    <w:rsid w:val="00864382"/>
    <w:rsid w:val="00865668"/>
    <w:rsid w:val="00866DF8"/>
    <w:rsid w:val="008A72AA"/>
    <w:rsid w:val="008B70B0"/>
    <w:rsid w:val="008E502C"/>
    <w:rsid w:val="008F4927"/>
    <w:rsid w:val="00906E66"/>
    <w:rsid w:val="0091170A"/>
    <w:rsid w:val="00911A3B"/>
    <w:rsid w:val="00951F62"/>
    <w:rsid w:val="009712EB"/>
    <w:rsid w:val="009771E4"/>
    <w:rsid w:val="00980560"/>
    <w:rsid w:val="00993164"/>
    <w:rsid w:val="009A5020"/>
    <w:rsid w:val="009B2741"/>
    <w:rsid w:val="009C05CD"/>
    <w:rsid w:val="009C2F4C"/>
    <w:rsid w:val="009D25AB"/>
    <w:rsid w:val="009D57AE"/>
    <w:rsid w:val="009E0FDE"/>
    <w:rsid w:val="009E317E"/>
    <w:rsid w:val="009F4EA4"/>
    <w:rsid w:val="009F6AAB"/>
    <w:rsid w:val="00A03052"/>
    <w:rsid w:val="00A077CC"/>
    <w:rsid w:val="00A15E99"/>
    <w:rsid w:val="00A32515"/>
    <w:rsid w:val="00A47F3A"/>
    <w:rsid w:val="00A50F56"/>
    <w:rsid w:val="00A55DD6"/>
    <w:rsid w:val="00A75632"/>
    <w:rsid w:val="00A806F7"/>
    <w:rsid w:val="00A85195"/>
    <w:rsid w:val="00A917BB"/>
    <w:rsid w:val="00AC075F"/>
    <w:rsid w:val="00AC7D5B"/>
    <w:rsid w:val="00AD4775"/>
    <w:rsid w:val="00B27AB0"/>
    <w:rsid w:val="00B33CD5"/>
    <w:rsid w:val="00B53A62"/>
    <w:rsid w:val="00B61785"/>
    <w:rsid w:val="00B6409A"/>
    <w:rsid w:val="00B66AE0"/>
    <w:rsid w:val="00B707EE"/>
    <w:rsid w:val="00B7100A"/>
    <w:rsid w:val="00BA4800"/>
    <w:rsid w:val="00BA6AA0"/>
    <w:rsid w:val="00BA7D59"/>
    <w:rsid w:val="00BB129F"/>
    <w:rsid w:val="00BB7BCE"/>
    <w:rsid w:val="00BC3552"/>
    <w:rsid w:val="00BD6CDD"/>
    <w:rsid w:val="00BE18AD"/>
    <w:rsid w:val="00C07927"/>
    <w:rsid w:val="00C07D56"/>
    <w:rsid w:val="00C23DC7"/>
    <w:rsid w:val="00C32521"/>
    <w:rsid w:val="00C36348"/>
    <w:rsid w:val="00C415E8"/>
    <w:rsid w:val="00C745FA"/>
    <w:rsid w:val="00C77CE9"/>
    <w:rsid w:val="00CA4B02"/>
    <w:rsid w:val="00CB0572"/>
    <w:rsid w:val="00CC1656"/>
    <w:rsid w:val="00CF185C"/>
    <w:rsid w:val="00D36A7B"/>
    <w:rsid w:val="00D510BA"/>
    <w:rsid w:val="00D56061"/>
    <w:rsid w:val="00D62123"/>
    <w:rsid w:val="00D64582"/>
    <w:rsid w:val="00D71197"/>
    <w:rsid w:val="00DB7C80"/>
    <w:rsid w:val="00DC3C39"/>
    <w:rsid w:val="00DD3614"/>
    <w:rsid w:val="00DF2C49"/>
    <w:rsid w:val="00DF66A3"/>
    <w:rsid w:val="00E01D85"/>
    <w:rsid w:val="00E23734"/>
    <w:rsid w:val="00E32FB6"/>
    <w:rsid w:val="00E40AE4"/>
    <w:rsid w:val="00E40F6A"/>
    <w:rsid w:val="00E41AB8"/>
    <w:rsid w:val="00E43415"/>
    <w:rsid w:val="00E50E1C"/>
    <w:rsid w:val="00E66FA6"/>
    <w:rsid w:val="00EA1C7C"/>
    <w:rsid w:val="00EA2AB4"/>
    <w:rsid w:val="00EB4026"/>
    <w:rsid w:val="00EC0026"/>
    <w:rsid w:val="00EC64BD"/>
    <w:rsid w:val="00EC6A0D"/>
    <w:rsid w:val="00ED086C"/>
    <w:rsid w:val="00F031EA"/>
    <w:rsid w:val="00F31C68"/>
    <w:rsid w:val="00F33574"/>
    <w:rsid w:val="00F467C0"/>
    <w:rsid w:val="00F50056"/>
    <w:rsid w:val="00F779BC"/>
    <w:rsid w:val="00F83556"/>
    <w:rsid w:val="00F861A6"/>
    <w:rsid w:val="00F8654B"/>
    <w:rsid w:val="00F96A5C"/>
    <w:rsid w:val="00FA52E5"/>
    <w:rsid w:val="00FA5733"/>
    <w:rsid w:val="00FB0586"/>
    <w:rsid w:val="00FB7873"/>
    <w:rsid w:val="00FC4BA1"/>
    <w:rsid w:val="00FC5774"/>
    <w:rsid w:val="00FC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DF2C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17BB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A917BB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A917BB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ldef1">
    <w:name w:val="ldef1"/>
    <w:basedOn w:val="DefaultParagraphFont"/>
    <w:rsid w:val="007B6B15"/>
    <w:rPr>
      <w:rFonts w:ascii="Times New Roman" w:hAnsi="Times New Roman" w:cs="Times New Roman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56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DF2C49"/>
    <w:rPr>
      <w:rFonts w:ascii="Cambria" w:eastAsia="Times New Roman" w:hAnsi="Cambria" w:cs="Times New Roman"/>
      <w:b/>
      <w:bCs/>
      <w:sz w:val="26"/>
      <w:szCs w:val="26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6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623"/>
  </w:style>
  <w:style w:type="paragraph" w:styleId="Footer">
    <w:name w:val="footer"/>
    <w:basedOn w:val="Normal"/>
    <w:link w:val="FooterChar"/>
    <w:uiPriority w:val="99"/>
    <w:unhideWhenUsed/>
    <w:rsid w:val="00056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DF2C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17BB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A917BB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A917BB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ldef1">
    <w:name w:val="ldef1"/>
    <w:basedOn w:val="DefaultParagraphFont"/>
    <w:rsid w:val="007B6B15"/>
    <w:rPr>
      <w:rFonts w:ascii="Times New Roman" w:hAnsi="Times New Roman" w:cs="Times New Roman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56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DF2C49"/>
    <w:rPr>
      <w:rFonts w:ascii="Cambria" w:eastAsia="Times New Roman" w:hAnsi="Cambria" w:cs="Times New Roman"/>
      <w:b/>
      <w:bCs/>
      <w:sz w:val="26"/>
      <w:szCs w:val="26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6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623"/>
  </w:style>
  <w:style w:type="paragraph" w:styleId="Footer">
    <w:name w:val="footer"/>
    <w:basedOn w:val="Normal"/>
    <w:link w:val="FooterChar"/>
    <w:uiPriority w:val="99"/>
    <w:unhideWhenUsed/>
    <w:rsid w:val="00056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804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24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692&amp;ToPar=Art262_Al6_Pt2&amp;Type=201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692&amp;ToPar=Art262_Al6_Pt1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4667&amp;ToPar=Art15_Al1_Pt7&amp;Type=20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D06E-C88E-485B-A0B8-1396526A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27328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Дилянова Бенева</dc:creator>
  <cp:lastModifiedBy>nhif</cp:lastModifiedBy>
  <cp:revision>3</cp:revision>
  <cp:lastPrinted>2020-01-07T07:57:00Z</cp:lastPrinted>
  <dcterms:created xsi:type="dcterms:W3CDTF">2021-02-23T13:09:00Z</dcterms:created>
  <dcterms:modified xsi:type="dcterms:W3CDTF">2021-02-23T14:38:00Z</dcterms:modified>
</cp:coreProperties>
</file>